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F55C2" w14:textId="77777777" w:rsidR="00D06186" w:rsidRDefault="00D06186">
      <w:pPr>
        <w:pBdr>
          <w:top w:val="nil"/>
          <w:left w:val="nil"/>
          <w:bottom w:val="nil"/>
          <w:right w:val="nil"/>
          <w:between w:val="nil"/>
        </w:pBdr>
        <w:spacing w:line="240" w:lineRule="auto"/>
        <w:ind w:left="2" w:hanging="5"/>
        <w:rPr>
          <w:rFonts w:ascii="Helvetica Neue" w:hAnsi="Helvetica Neue"/>
          <w:color w:val="000000"/>
          <w:sz w:val="48"/>
          <w:szCs w:val="48"/>
        </w:rPr>
      </w:pPr>
    </w:p>
    <w:p w14:paraId="4AC9CF7D" w14:textId="77777777" w:rsidR="00D06186" w:rsidRDefault="00D06186">
      <w:pPr>
        <w:pBdr>
          <w:top w:val="nil"/>
          <w:left w:val="nil"/>
          <w:bottom w:val="nil"/>
          <w:right w:val="nil"/>
          <w:between w:val="nil"/>
        </w:pBdr>
        <w:spacing w:line="240" w:lineRule="auto"/>
        <w:ind w:left="0" w:hanging="3"/>
        <w:rPr>
          <w:rFonts w:ascii="Helvetica Neue" w:hAnsi="Helvetica Neue"/>
          <w:color w:val="000000"/>
        </w:rPr>
      </w:pPr>
    </w:p>
    <w:p w14:paraId="3B29CA59" w14:textId="77777777" w:rsidR="00D06186" w:rsidRDefault="00EC60DB">
      <w:pPr>
        <w:pBdr>
          <w:top w:val="nil"/>
          <w:left w:val="nil"/>
          <w:bottom w:val="nil"/>
          <w:right w:val="nil"/>
          <w:between w:val="nil"/>
        </w:pBdr>
        <w:spacing w:line="240" w:lineRule="auto"/>
        <w:ind w:left="0" w:hanging="3"/>
        <w:jc w:val="center"/>
        <w:rPr>
          <w:rFonts w:ascii="Helvetica Neue" w:hAnsi="Helvetica Neue"/>
          <w:color w:val="000000"/>
        </w:rPr>
      </w:pPr>
      <w:r>
        <w:rPr>
          <w:rFonts w:ascii="Helvetica Neue" w:hAnsi="Helvetica Neue"/>
          <w:noProof/>
          <w:color w:val="000000"/>
          <w:lang w:eastAsia="lv-LV"/>
        </w:rPr>
        <w:drawing>
          <wp:inline distT="0" distB="0" distL="114300" distR="114300" wp14:anchorId="58B0D32B" wp14:editId="12A1F529">
            <wp:extent cx="606425" cy="71945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4D448D4D" w14:textId="77777777" w:rsidR="00D06186" w:rsidRDefault="00D06186">
      <w:pPr>
        <w:pBdr>
          <w:top w:val="nil"/>
          <w:left w:val="nil"/>
          <w:bottom w:val="nil"/>
          <w:right w:val="nil"/>
          <w:between w:val="nil"/>
        </w:pBdr>
        <w:spacing w:line="240" w:lineRule="auto"/>
        <w:ind w:hanging="2"/>
        <w:rPr>
          <w:rFonts w:ascii="Helvetica Neue" w:hAnsi="Helvetica Neue"/>
          <w:color w:val="000000"/>
          <w:sz w:val="16"/>
          <w:szCs w:val="16"/>
        </w:rPr>
      </w:pPr>
    </w:p>
    <w:tbl>
      <w:tblPr>
        <w:tblStyle w:val="a8"/>
        <w:tblW w:w="9697" w:type="dxa"/>
        <w:tblLayout w:type="fixed"/>
        <w:tblLook w:val="0000" w:firstRow="0" w:lastRow="0" w:firstColumn="0" w:lastColumn="0" w:noHBand="0" w:noVBand="0"/>
      </w:tblPr>
      <w:tblGrid>
        <w:gridCol w:w="9697"/>
      </w:tblGrid>
      <w:tr w:rsidR="00D06186" w14:paraId="65209AD2" w14:textId="77777777">
        <w:tc>
          <w:tcPr>
            <w:tcW w:w="9697" w:type="dxa"/>
            <w:tcBorders>
              <w:bottom w:val="single" w:sz="4" w:space="0" w:color="000000"/>
            </w:tcBorders>
          </w:tcPr>
          <w:p w14:paraId="59ED9C10" w14:textId="77777777" w:rsidR="00D06186" w:rsidRDefault="00EC60DB">
            <w:pPr>
              <w:pBdr>
                <w:top w:val="nil"/>
                <w:left w:val="nil"/>
                <w:bottom w:val="nil"/>
                <w:right w:val="nil"/>
                <w:between w:val="nil"/>
              </w:pBdr>
              <w:spacing w:line="240" w:lineRule="auto"/>
              <w:ind w:left="0" w:hanging="3"/>
              <w:jc w:val="center"/>
              <w:rPr>
                <w:rFonts w:ascii="Times New Roman" w:eastAsia="Times New Roman" w:hAnsi="Times New Roman" w:cs="Times New Roman"/>
                <w:color w:val="000000"/>
              </w:rPr>
            </w:pPr>
            <w:r>
              <w:rPr>
                <w:rFonts w:ascii="Times New Roman" w:eastAsia="Times New Roman" w:hAnsi="Times New Roman" w:cs="Times New Roman"/>
                <w:color w:val="000000"/>
              </w:rPr>
              <w:t>OGRES  NOVADA  PAŠVALDĪBA</w:t>
            </w:r>
          </w:p>
          <w:p w14:paraId="0B88EA88" w14:textId="77777777" w:rsidR="00D06186" w:rsidRDefault="00EC60DB">
            <w:pPr>
              <w:pBdr>
                <w:top w:val="nil"/>
                <w:left w:val="nil"/>
                <w:bottom w:val="nil"/>
                <w:right w:val="nil"/>
                <w:between w:val="nil"/>
              </w:pBdr>
              <w:spacing w:line="240" w:lineRule="auto"/>
              <w:ind w:left="1"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LĒDMANES PAMATSKOLA</w:t>
            </w:r>
          </w:p>
          <w:p w14:paraId="1E9A1948" w14:textId="77777777" w:rsidR="00D06186" w:rsidRDefault="00EC60DB">
            <w:pPr>
              <w:pBdr>
                <w:top w:val="nil"/>
                <w:left w:val="nil"/>
                <w:bottom w:val="nil"/>
                <w:right w:val="nil"/>
                <w:between w:val="nil"/>
              </w:pBdr>
              <w:spacing w:line="240" w:lineRule="auto"/>
              <w:ind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w:t>
            </w:r>
            <w:r>
              <w:rPr>
                <w:rFonts w:ascii="Times New Roman" w:eastAsia="Times New Roman" w:hAnsi="Times New Roman" w:cs="Times New Roman"/>
                <w:sz w:val="18"/>
                <w:szCs w:val="18"/>
                <w:highlight w:val="white"/>
              </w:rPr>
              <w:t>40900000582</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Lēdmanes skola, Lēdmane, Lēdmanes pagasts, Ogres novads, LV-5011</w:t>
            </w:r>
          </w:p>
          <w:p w14:paraId="18C8A9A3" w14:textId="77777777" w:rsidR="00D06186" w:rsidRDefault="00EC60DB">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36"/>
                <w:szCs w:val="36"/>
              </w:rPr>
            </w:pPr>
            <w:r>
              <w:rPr>
                <w:rFonts w:ascii="Times New Roman" w:eastAsia="Times New Roman" w:hAnsi="Times New Roman" w:cs="Times New Roman"/>
                <w:sz w:val="18"/>
                <w:szCs w:val="18"/>
              </w:rPr>
              <w:t xml:space="preserve">Tālrunis: </w:t>
            </w:r>
            <w:r>
              <w:rPr>
                <w:rFonts w:ascii="Times New Roman" w:eastAsia="Times New Roman" w:hAnsi="Times New Roman" w:cs="Times New Roman"/>
                <w:sz w:val="18"/>
                <w:szCs w:val="18"/>
                <w:highlight w:val="white"/>
              </w:rPr>
              <w:t>65058722</w:t>
            </w:r>
            <w:r>
              <w:rPr>
                <w:rFonts w:ascii="Times New Roman" w:eastAsia="Times New Roman" w:hAnsi="Times New Roman" w:cs="Times New Roman"/>
                <w:sz w:val="18"/>
                <w:szCs w:val="18"/>
              </w:rPr>
              <w:t xml:space="preserve">, 65058749, e-pasts: </w:t>
            </w:r>
            <w:hyperlink r:id="rId7">
              <w:r>
                <w:rPr>
                  <w:rFonts w:ascii="Times New Roman" w:eastAsia="Times New Roman" w:hAnsi="Times New Roman" w:cs="Times New Roman"/>
                  <w:color w:val="0000FF"/>
                  <w:sz w:val="18"/>
                  <w:szCs w:val="18"/>
                  <w:u w:val="single"/>
                </w:rPr>
                <w:t>ledmanespsk@ogresnovads.lv</w:t>
              </w:r>
            </w:hyperlink>
            <w:r>
              <w:rPr>
                <w:rFonts w:ascii="Times New Roman" w:eastAsia="Times New Roman" w:hAnsi="Times New Roman" w:cs="Times New Roman"/>
                <w:sz w:val="18"/>
                <w:szCs w:val="18"/>
              </w:rPr>
              <w:t xml:space="preserve">, </w:t>
            </w:r>
            <w:hyperlink r:id="rId8">
              <w:r>
                <w:rPr>
                  <w:rFonts w:ascii="Times New Roman" w:eastAsia="Times New Roman" w:hAnsi="Times New Roman" w:cs="Times New Roman"/>
                  <w:color w:val="0000FF"/>
                  <w:sz w:val="18"/>
                  <w:szCs w:val="18"/>
                  <w:u w:val="single"/>
                </w:rPr>
                <w:t>www.ledmanespamatskola.lv</w:t>
              </w:r>
            </w:hyperlink>
          </w:p>
        </w:tc>
      </w:tr>
    </w:tbl>
    <w:p w14:paraId="2EE04481" w14:textId="77777777" w:rsidR="00D06186" w:rsidRDefault="00D0618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18"/>
          <w:szCs w:val="18"/>
        </w:rPr>
      </w:pPr>
    </w:p>
    <w:p w14:paraId="6CB0D703" w14:textId="77777777" w:rsidR="00D06186" w:rsidRDefault="00D06186">
      <w:pPr>
        <w:pBdr>
          <w:top w:val="nil"/>
          <w:left w:val="nil"/>
          <w:bottom w:val="nil"/>
          <w:right w:val="nil"/>
          <w:between w:val="nil"/>
        </w:pBdr>
        <w:spacing w:line="240" w:lineRule="auto"/>
        <w:ind w:left="0" w:hanging="3"/>
        <w:jc w:val="center"/>
        <w:rPr>
          <w:rFonts w:ascii="Times New Roman" w:eastAsia="Times New Roman" w:hAnsi="Times New Roman" w:cs="Times New Roman"/>
          <w:color w:val="000000"/>
        </w:rPr>
      </w:pPr>
    </w:p>
    <w:p w14:paraId="5735793C" w14:textId="77777777" w:rsidR="00D06186" w:rsidRDefault="00EC60DB">
      <w:pPr>
        <w:spacing w:before="120" w:after="120"/>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Lēdmanes pagastā</w:t>
      </w:r>
    </w:p>
    <w:p w14:paraId="3978E969" w14:textId="77777777" w:rsidR="00D06186" w:rsidRDefault="00D06186">
      <w:pPr>
        <w:spacing w:before="120" w:after="120"/>
        <w:ind w:hanging="2"/>
        <w:jc w:val="center"/>
        <w:rPr>
          <w:rFonts w:ascii="Times New Roman" w:eastAsia="Times New Roman" w:hAnsi="Times New Roman" w:cs="Times New Roman"/>
          <w:sz w:val="24"/>
          <w:szCs w:val="24"/>
        </w:rPr>
      </w:pPr>
    </w:p>
    <w:p w14:paraId="6E9F2939" w14:textId="77777777" w:rsidR="00D06186" w:rsidRDefault="00EC60DB">
      <w:pPr>
        <w:spacing w:before="120" w:after="120"/>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IEKŠĒJIE NOTEIKUMI </w:t>
      </w:r>
    </w:p>
    <w:p w14:paraId="6AFD65DE" w14:textId="77777777" w:rsidR="00D06186" w:rsidRDefault="00D06186">
      <w:pPr>
        <w:spacing w:before="120" w:after="120"/>
        <w:ind w:hanging="2"/>
        <w:jc w:val="center"/>
        <w:rPr>
          <w:rFonts w:ascii="Times New Roman" w:eastAsia="Times New Roman" w:hAnsi="Times New Roman" w:cs="Times New Roman"/>
          <w:sz w:val="24"/>
          <w:szCs w:val="24"/>
        </w:rPr>
      </w:pPr>
    </w:p>
    <w:p w14:paraId="1639E0B9" w14:textId="10CA93A9" w:rsidR="00D06186" w:rsidRDefault="00EC60DB">
      <w:pPr>
        <w:spacing w:before="120"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2025. gada 27.februārī</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Nr. 1 – 6/ 6</w:t>
      </w:r>
    </w:p>
    <w:p w14:paraId="456EE269" w14:textId="77777777" w:rsidR="00D06186" w:rsidRDefault="00D06186">
      <w:pPr>
        <w:spacing w:before="120" w:after="120"/>
        <w:ind w:hanging="2"/>
        <w:rPr>
          <w:rFonts w:ascii="Times New Roman" w:eastAsia="Times New Roman" w:hAnsi="Times New Roman" w:cs="Times New Roman"/>
          <w:sz w:val="24"/>
          <w:szCs w:val="24"/>
        </w:rPr>
      </w:pPr>
    </w:p>
    <w:p w14:paraId="49F0C1BE"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IZGLĪTOJAMO MĀCĪBU SASNIEGUMU VĒRTĒŠANAS KĀRTĪBA</w:t>
      </w:r>
    </w:p>
    <w:p w14:paraId="34456992" w14:textId="77777777" w:rsidR="00D06186" w:rsidRDefault="00D06186">
      <w:pPr>
        <w:ind w:hanging="2"/>
        <w:jc w:val="right"/>
        <w:rPr>
          <w:rFonts w:ascii="Times New Roman" w:eastAsia="Times New Roman" w:hAnsi="Times New Roman" w:cs="Times New Roman"/>
          <w:b/>
          <w:sz w:val="24"/>
          <w:szCs w:val="24"/>
        </w:rPr>
      </w:pPr>
    </w:p>
    <w:p w14:paraId="65EFCDD2" w14:textId="77777777" w:rsidR="00D06186" w:rsidRDefault="00EC60DB">
      <w:pPr>
        <w:ind w:hanging="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Izdota saskaņā ar Vispārējās izglītības likuma 10. panta trešās daļas 2. punktu,</w:t>
      </w:r>
    </w:p>
    <w:p w14:paraId="3BB7CB94" w14:textId="77777777" w:rsidR="00D06186" w:rsidRDefault="00EC60DB">
      <w:pPr>
        <w:ind w:hanging="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Ministru kabineta 27.11.2018. noteikumu Nr. 747</w:t>
      </w:r>
    </w:p>
    <w:p w14:paraId="1509C1E3" w14:textId="77777777" w:rsidR="00D06186" w:rsidRDefault="00EC60DB">
      <w:pPr>
        <w:ind w:hanging="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„Noteikumi par valsts pamatizglītības standartu un pamatizglītības programmu paraugiem″ </w:t>
      </w:r>
    </w:p>
    <w:p w14:paraId="325FE221" w14:textId="77777777" w:rsidR="00D06186" w:rsidRDefault="00EC60DB">
      <w:pPr>
        <w:ind w:hanging="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15. punktu un 11. pielikuma 19. punktu</w:t>
      </w:r>
    </w:p>
    <w:p w14:paraId="2372DC77" w14:textId="77777777" w:rsidR="00D06186" w:rsidRDefault="00D06186">
      <w:pPr>
        <w:ind w:hanging="2"/>
        <w:jc w:val="right"/>
        <w:rPr>
          <w:rFonts w:ascii="Times New Roman" w:eastAsia="Times New Roman" w:hAnsi="Times New Roman" w:cs="Times New Roman"/>
          <w:i/>
          <w:sz w:val="24"/>
          <w:szCs w:val="24"/>
        </w:rPr>
      </w:pPr>
    </w:p>
    <w:p w14:paraId="088077DB" w14:textId="77777777" w:rsidR="00D06186" w:rsidRDefault="00D06186">
      <w:pPr>
        <w:ind w:hanging="2"/>
        <w:jc w:val="right"/>
        <w:rPr>
          <w:rFonts w:ascii="Times New Roman" w:eastAsia="Times New Roman" w:hAnsi="Times New Roman" w:cs="Times New Roman"/>
          <w:sz w:val="24"/>
          <w:szCs w:val="24"/>
        </w:rPr>
      </w:pPr>
    </w:p>
    <w:p w14:paraId="4382CFFF"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Vispārīgie noteikumi</w:t>
      </w:r>
    </w:p>
    <w:p w14:paraId="0C722F66" w14:textId="77777777" w:rsidR="00D06186" w:rsidRDefault="00D06186">
      <w:pPr>
        <w:ind w:hanging="2"/>
        <w:jc w:val="both"/>
        <w:rPr>
          <w:rFonts w:ascii="Times New Roman" w:eastAsia="Times New Roman" w:hAnsi="Times New Roman" w:cs="Times New Roman"/>
          <w:sz w:val="24"/>
          <w:szCs w:val="24"/>
        </w:rPr>
      </w:pPr>
    </w:p>
    <w:p w14:paraId="139113A8" w14:textId="77777777" w:rsidR="00D06186" w:rsidRDefault="00EC60DB">
      <w:pPr>
        <w:numPr>
          <w:ilvl w:val="1"/>
          <w:numId w:val="1"/>
        </w:numPr>
        <w:pBdr>
          <w:top w:val="nil"/>
          <w:left w:val="nil"/>
          <w:bottom w:val="nil"/>
          <w:right w:val="nil"/>
          <w:between w:val="nil"/>
        </w:pBdr>
        <w:spacing w:after="120" w:line="259" w:lineRule="auto"/>
        <w:ind w:left="-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Lēdmanes pamatskolas (turpmāk – iestādes) izglītojamo mācību sasniegumu vērtēšanas kārtība (turpmāk – kārtība) nosaka izglītojamo mācību sasniegumu vērtēšanas kārtību 1.- 9. klasēs.</w:t>
      </w:r>
    </w:p>
    <w:p w14:paraId="3FABBEF7"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Kārtību un nepieciešamās izmaiņas var izstrādāt izglītības iestādes direktors, direktora vietnieks izglītības jomā, pedagoģiskā padome un mācību priekšmetu metodiskās komisijas. Kārtību un izmaiņas apstiprina ar grozījumiem iekšējos noteikumos.</w:t>
      </w:r>
    </w:p>
    <w:p w14:paraId="3AC9E6A4"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Izglītības iestādes vērtēšanas pamatprincipus un kārtību, kā arī mācību sasniegumu vērtēšanu nosaka Ministru kabineta 2018. gada 27. novembra noteikumi Nr.747 “Noteikumi par valsts pamatizglītības standartu un pamatizglītības programmu paraugiem” un šī kārtība.</w:t>
      </w:r>
    </w:p>
    <w:p w14:paraId="6EA20468" w14:textId="77777777" w:rsidR="00D06186" w:rsidRDefault="00EC60DB">
      <w:pPr>
        <w:spacing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Izglītojamo mācību sasniegumu vērtēšanas mērķis un uzdevumi</w:t>
      </w:r>
    </w:p>
    <w:p w14:paraId="588FFA06"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Izglītojamo mācību sasniegumu vērtēšanas mērķis ir objektīvs un profesionāls izglītojamā sasniegumu raksturojums, kas sekmē katra izglītojamā sabiedriskajai un individuālajai dzīvei nepieciešamo zināšanu un prasmju apguvi un izpratni par mācīšanās panākumiem.</w:t>
      </w:r>
    </w:p>
    <w:p w14:paraId="267795EB"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Izglītojamo mācību sasniegumu vērtēšanas uzdevumi ir:</w:t>
      </w:r>
    </w:p>
    <w:p w14:paraId="54BF14C3"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konstatēt katra izglītojamā sasniegumus, ievērojot viņa vajadzības, intereses, temperamentu, veselību;</w:t>
      </w:r>
    </w:p>
    <w:p w14:paraId="418C661D" w14:textId="77777777" w:rsidR="00D06186" w:rsidRDefault="00D06186">
      <w:pPr>
        <w:spacing w:after="120"/>
        <w:ind w:hanging="2"/>
        <w:jc w:val="both"/>
        <w:rPr>
          <w:rFonts w:ascii="Times New Roman" w:eastAsia="Times New Roman" w:hAnsi="Times New Roman" w:cs="Times New Roman"/>
          <w:sz w:val="24"/>
          <w:szCs w:val="24"/>
        </w:rPr>
      </w:pPr>
    </w:p>
    <w:p w14:paraId="4236483E"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2.2.2. motivēt izglītojamos pilnveidot savus mācību sasniegumus;</w:t>
      </w:r>
    </w:p>
    <w:p w14:paraId="377E46F8"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sekmēt izglītojamo atbildību par sasniedzamo rezultātu mācību procesā;</w:t>
      </w:r>
    </w:p>
    <w:p w14:paraId="027566C6"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veicināt skolotāju, izglītojamo un vecāku sadarbību;</w:t>
      </w:r>
    </w:p>
    <w:p w14:paraId="6CF462C3" w14:textId="77777777"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pēc vajadzības veikt mācību procesa korekciju izglītojamo mācību sniegumu uzlabošanai;</w:t>
      </w:r>
    </w:p>
    <w:p w14:paraId="767DD2D1" w14:textId="77777777" w:rsidR="00D06186" w:rsidRDefault="00D06186">
      <w:pPr>
        <w:ind w:hanging="2"/>
        <w:jc w:val="center"/>
        <w:rPr>
          <w:rFonts w:ascii="Times New Roman" w:eastAsia="Times New Roman" w:hAnsi="Times New Roman" w:cs="Times New Roman"/>
          <w:b/>
          <w:sz w:val="24"/>
          <w:szCs w:val="24"/>
        </w:rPr>
      </w:pPr>
    </w:p>
    <w:p w14:paraId="540D9622" w14:textId="77777777" w:rsidR="00D06186" w:rsidRDefault="00EC60DB">
      <w:pPr>
        <w:spacing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Izglītojamo mācību snieguma vērtēšanas pamatprincipi</w:t>
      </w:r>
    </w:p>
    <w:p w14:paraId="28457A15"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3.1. </w:t>
      </w:r>
      <w:proofErr w:type="spellStart"/>
      <w:r>
        <w:rPr>
          <w:rFonts w:ascii="Times New Roman" w:eastAsia="Times New Roman" w:hAnsi="Times New Roman" w:cs="Times New Roman"/>
          <w:b/>
          <w:sz w:val="24"/>
          <w:szCs w:val="24"/>
          <w:highlight w:val="white"/>
        </w:rPr>
        <w:t>Sistēmiskuma</w:t>
      </w:r>
      <w:proofErr w:type="spellEnd"/>
      <w:r>
        <w:rPr>
          <w:rFonts w:ascii="Times New Roman" w:eastAsia="Times New Roman" w:hAnsi="Times New Roman" w:cs="Times New Roman"/>
          <w:b/>
          <w:sz w:val="24"/>
          <w:szCs w:val="24"/>
          <w:highlight w:val="white"/>
        </w:rPr>
        <w:t xml:space="preserve"> princips</w:t>
      </w:r>
      <w:r>
        <w:rPr>
          <w:rFonts w:ascii="Times New Roman" w:eastAsia="Times New Roman" w:hAnsi="Times New Roman" w:cs="Times New Roman"/>
          <w:sz w:val="24"/>
          <w:szCs w:val="24"/>
          <w:highlight w:val="white"/>
        </w:rPr>
        <w:t xml:space="preserve"> – mācību snieguma vērtēšanas pamatā ir sistēma, kuru raksturo regulāru un pamatotu, noteiktā secībā veidotu darbību kopums;</w:t>
      </w:r>
    </w:p>
    <w:p w14:paraId="0C694868" w14:textId="77777777" w:rsidR="00D06186" w:rsidRDefault="00EC60DB">
      <w:pPr>
        <w:pBdr>
          <w:top w:val="nil"/>
          <w:left w:val="nil"/>
          <w:bottom w:val="nil"/>
          <w:right w:val="nil"/>
          <w:between w:val="nil"/>
        </w:pBdr>
        <w:shd w:val="clear" w:color="auto" w:fill="FFFFFF"/>
        <w:spacing w:after="12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Pr>
          <w:rFonts w:ascii="Times New Roman" w:eastAsia="Times New Roman" w:hAnsi="Times New Roman" w:cs="Times New Roman"/>
          <w:b/>
          <w:color w:val="000000"/>
          <w:sz w:val="24"/>
          <w:szCs w:val="24"/>
        </w:rPr>
        <w:t>Atklātības un skaidrības princips</w:t>
      </w:r>
      <w:r>
        <w:rPr>
          <w:rFonts w:ascii="Times New Roman" w:eastAsia="Times New Roman" w:hAnsi="Times New Roman" w:cs="Times New Roman"/>
          <w:color w:val="000000"/>
          <w:sz w:val="24"/>
          <w:szCs w:val="24"/>
        </w:rPr>
        <w:t xml:space="preserve"> – pirms mācību snieguma demonstrēšanas izglītojamajiem ir zināmi un saprotami plānotie sasniedzamie rezultāti un viņu mācību snieguma vērtēšanas kritēriji;</w:t>
      </w:r>
    </w:p>
    <w:p w14:paraId="3E0B69EA" w14:textId="77777777" w:rsidR="00D06186" w:rsidRDefault="00EC60DB">
      <w:pPr>
        <w:pBdr>
          <w:top w:val="nil"/>
          <w:left w:val="nil"/>
          <w:bottom w:val="nil"/>
          <w:right w:val="nil"/>
          <w:between w:val="nil"/>
        </w:pBdr>
        <w:shd w:val="clear" w:color="auto" w:fill="FFFFFF"/>
        <w:spacing w:after="12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r>
        <w:rPr>
          <w:rFonts w:ascii="Times New Roman" w:eastAsia="Times New Roman" w:hAnsi="Times New Roman" w:cs="Times New Roman"/>
          <w:b/>
          <w:color w:val="000000"/>
          <w:sz w:val="24"/>
          <w:szCs w:val="24"/>
        </w:rPr>
        <w:t>Metodiskās daudzveidības princips</w:t>
      </w:r>
      <w:r>
        <w:rPr>
          <w:rFonts w:ascii="Times New Roman" w:eastAsia="Times New Roman" w:hAnsi="Times New Roman" w:cs="Times New Roman"/>
          <w:color w:val="000000"/>
          <w:sz w:val="24"/>
          <w:szCs w:val="24"/>
        </w:rPr>
        <w:t xml:space="preserve"> – mācību snieguma vērtēšanai izmanto dažādus vērtēšanas metodiskos paņēmienus;</w:t>
      </w:r>
    </w:p>
    <w:p w14:paraId="56EB0F52" w14:textId="77777777" w:rsidR="00D06186" w:rsidRDefault="00EC60DB">
      <w:pPr>
        <w:pBdr>
          <w:top w:val="nil"/>
          <w:left w:val="nil"/>
          <w:bottom w:val="nil"/>
          <w:right w:val="nil"/>
          <w:between w:val="nil"/>
        </w:pBdr>
        <w:shd w:val="clear" w:color="auto" w:fill="FFFFFF"/>
        <w:spacing w:after="12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w:t>
      </w:r>
      <w:r>
        <w:rPr>
          <w:rFonts w:ascii="Times New Roman" w:eastAsia="Times New Roman" w:hAnsi="Times New Roman" w:cs="Times New Roman"/>
          <w:b/>
          <w:color w:val="000000"/>
          <w:sz w:val="24"/>
          <w:szCs w:val="24"/>
        </w:rPr>
        <w:t>Iekļaujošais princips</w:t>
      </w:r>
      <w:r>
        <w:rPr>
          <w:rFonts w:ascii="Times New Roman" w:eastAsia="Times New Roman" w:hAnsi="Times New Roman" w:cs="Times New Roman"/>
          <w:color w:val="000000"/>
          <w:sz w:val="24"/>
          <w:szCs w:val="24"/>
        </w:rPr>
        <w:t xml:space="preserve"> – mācību snieguma vērtēšana tiek pielāgota ikviena izglītojamā dažādajām mācīšanās vajadzībām, piemēram, laika dalījums un ilgums, vide, izglītojamā snieguma demonstrēšanas veids, piekļuve vērtēšanas darbam;</w:t>
      </w:r>
    </w:p>
    <w:p w14:paraId="12B7AA6A" w14:textId="77777777" w:rsidR="00D06186" w:rsidRDefault="00EC60DB">
      <w:pPr>
        <w:pBdr>
          <w:top w:val="nil"/>
          <w:left w:val="nil"/>
          <w:bottom w:val="nil"/>
          <w:right w:val="nil"/>
          <w:between w:val="nil"/>
        </w:pBdr>
        <w:shd w:val="clear" w:color="auto" w:fill="FFFFFF"/>
        <w:spacing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r>
        <w:rPr>
          <w:rFonts w:ascii="Times New Roman" w:eastAsia="Times New Roman" w:hAnsi="Times New Roman" w:cs="Times New Roman"/>
          <w:b/>
          <w:color w:val="000000"/>
          <w:sz w:val="24"/>
          <w:szCs w:val="24"/>
        </w:rPr>
        <w:t>Izaugsmes princips</w:t>
      </w:r>
      <w:r>
        <w:rPr>
          <w:rFonts w:ascii="Times New Roman" w:eastAsia="Times New Roman" w:hAnsi="Times New Roman" w:cs="Times New Roman"/>
          <w:color w:val="000000"/>
          <w:sz w:val="24"/>
          <w:szCs w:val="24"/>
        </w:rPr>
        <w:t xml:space="preserve"> – mācību snieguma vērtēšanā, īpaši mācīšanās posma noslēgumā, tiek ņemta vērā izglītojamā individuālā mācību snieguma attīstības dinamika.</w:t>
      </w:r>
    </w:p>
    <w:p w14:paraId="2B114E05" w14:textId="77777777" w:rsidR="00D06186" w:rsidRDefault="00D06186">
      <w:pPr>
        <w:ind w:hanging="2"/>
        <w:jc w:val="both"/>
        <w:rPr>
          <w:rFonts w:ascii="Times New Roman" w:eastAsia="Times New Roman" w:hAnsi="Times New Roman" w:cs="Times New Roman"/>
          <w:b/>
          <w:sz w:val="24"/>
          <w:szCs w:val="24"/>
        </w:rPr>
      </w:pPr>
    </w:p>
    <w:p w14:paraId="51EAE16B" w14:textId="77777777" w:rsidR="00D06186" w:rsidRDefault="00EC60DB">
      <w:pPr>
        <w:spacing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Izglītojamo mācību snieguma vērtēšanas veidi un atspoguļošana</w:t>
      </w:r>
    </w:p>
    <w:p w14:paraId="3AD6AA47"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Mācību sasniegumu vērtēšanas veidi:</w:t>
      </w:r>
    </w:p>
    <w:p w14:paraId="584F288E"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w:t>
      </w:r>
      <w:proofErr w:type="spellStart"/>
      <w:r>
        <w:rPr>
          <w:rFonts w:ascii="Times New Roman" w:eastAsia="Times New Roman" w:hAnsi="Times New Roman" w:cs="Times New Roman"/>
          <w:b/>
          <w:sz w:val="24"/>
          <w:szCs w:val="24"/>
        </w:rPr>
        <w:t>Formatīvā</w:t>
      </w:r>
      <w:proofErr w:type="spellEnd"/>
      <w:r>
        <w:rPr>
          <w:rFonts w:ascii="Times New Roman" w:eastAsia="Times New Roman" w:hAnsi="Times New Roman" w:cs="Times New Roman"/>
          <w:b/>
          <w:sz w:val="24"/>
          <w:szCs w:val="24"/>
        </w:rPr>
        <w:t xml:space="preserve"> vērtēšana -</w:t>
      </w:r>
      <w:r>
        <w:rPr>
          <w:rFonts w:ascii="Times New Roman" w:eastAsia="Times New Roman" w:hAnsi="Times New Roman" w:cs="Times New Roman"/>
          <w:sz w:val="24"/>
          <w:szCs w:val="24"/>
        </w:rPr>
        <w:t xml:space="preserve">  nepārtraukta ikdienas mācību procesa sastāvdaļa, kas nodrošina izglītojamajam un pedagogam atgriezenisko saiti par izglītojamā tā brīža sniegumu pret plānotajiem sasniedzamajiem rezultātiem un to var īstenot pedagogs (lai noteiktu izglītojamā mācīšanās vajadzības un sniegtu papildu atbalstu, plānotu un uzlabotu mācīšanu) un izglītojamais (lai uzlabotu mācīšanos, patstāvīgi vērtētu savu un cita sniegumu), </w:t>
      </w:r>
      <w:proofErr w:type="spellStart"/>
      <w:r>
        <w:rPr>
          <w:rFonts w:ascii="Times New Roman" w:eastAsia="Times New Roman" w:hAnsi="Times New Roman" w:cs="Times New Roman"/>
          <w:sz w:val="24"/>
          <w:szCs w:val="24"/>
        </w:rPr>
        <w:t>formatīvie</w:t>
      </w:r>
      <w:proofErr w:type="spellEnd"/>
      <w:r>
        <w:rPr>
          <w:rFonts w:ascii="Times New Roman" w:eastAsia="Times New Roman" w:hAnsi="Times New Roman" w:cs="Times New Roman"/>
          <w:sz w:val="24"/>
          <w:szCs w:val="24"/>
        </w:rPr>
        <w:t xml:space="preserve"> vērtējumi neietekmē izglītojamo </w:t>
      </w:r>
      <w:proofErr w:type="spellStart"/>
      <w:r>
        <w:rPr>
          <w:rFonts w:ascii="Times New Roman" w:eastAsia="Times New Roman" w:hAnsi="Times New Roman" w:cs="Times New Roman"/>
          <w:sz w:val="24"/>
          <w:szCs w:val="24"/>
        </w:rPr>
        <w:t>summatīvo</w:t>
      </w:r>
      <w:proofErr w:type="spellEnd"/>
      <w:r>
        <w:rPr>
          <w:rFonts w:ascii="Times New Roman" w:eastAsia="Times New Roman" w:hAnsi="Times New Roman" w:cs="Times New Roman"/>
          <w:sz w:val="24"/>
          <w:szCs w:val="24"/>
        </w:rPr>
        <w:t xml:space="preserve"> vērtējumu;</w:t>
      </w:r>
    </w:p>
    <w:p w14:paraId="6FD3A35A"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 </w:t>
      </w:r>
      <w:r>
        <w:rPr>
          <w:rFonts w:ascii="Times New Roman" w:eastAsia="Times New Roman" w:hAnsi="Times New Roman" w:cs="Times New Roman"/>
          <w:b/>
          <w:sz w:val="24"/>
          <w:szCs w:val="24"/>
        </w:rPr>
        <w:t>Diagnosticējošā vērtēšana</w:t>
      </w:r>
      <w:r>
        <w:rPr>
          <w:rFonts w:ascii="Times New Roman" w:eastAsia="Times New Roman" w:hAnsi="Times New Roman" w:cs="Times New Roman"/>
          <w:sz w:val="24"/>
          <w:szCs w:val="24"/>
        </w:rPr>
        <w:t xml:space="preserve"> – izvērtē izglītojamā mācīšanās stiprās un vājās puses un noskaidro nepieciešamo atbalstu;</w:t>
      </w:r>
    </w:p>
    <w:p w14:paraId="252EB6BF"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w:t>
      </w:r>
      <w:proofErr w:type="spellStart"/>
      <w:r>
        <w:rPr>
          <w:rFonts w:ascii="Times New Roman" w:eastAsia="Times New Roman" w:hAnsi="Times New Roman" w:cs="Times New Roman"/>
          <w:b/>
          <w:sz w:val="24"/>
          <w:szCs w:val="24"/>
        </w:rPr>
        <w:t>Summatīvā</w:t>
      </w:r>
      <w:proofErr w:type="spellEnd"/>
      <w:r>
        <w:rPr>
          <w:rFonts w:ascii="Times New Roman" w:eastAsia="Times New Roman" w:hAnsi="Times New Roman" w:cs="Times New Roman"/>
          <w:b/>
          <w:sz w:val="24"/>
          <w:szCs w:val="24"/>
        </w:rPr>
        <w:t xml:space="preserve"> vērtēšana</w:t>
      </w:r>
      <w:r>
        <w:rPr>
          <w:rFonts w:ascii="Times New Roman" w:eastAsia="Times New Roman" w:hAnsi="Times New Roman" w:cs="Times New Roman"/>
          <w:sz w:val="24"/>
          <w:szCs w:val="24"/>
        </w:rPr>
        <w:t xml:space="preserve"> – novērtē un dokumentē izglītojamo mācīšanās rezultātu mācīšanās posma noslēgumā (piemēram, temata, mācību gada, izglītības pakāpes noslēgumā), </w:t>
      </w:r>
      <w:proofErr w:type="spellStart"/>
      <w:r>
        <w:rPr>
          <w:rFonts w:ascii="Times New Roman" w:eastAsia="Times New Roman" w:hAnsi="Times New Roman" w:cs="Times New Roman"/>
          <w:sz w:val="24"/>
          <w:szCs w:val="24"/>
        </w:rPr>
        <w:t>summatīvā</w:t>
      </w:r>
      <w:proofErr w:type="spellEnd"/>
      <w:r>
        <w:rPr>
          <w:rFonts w:ascii="Times New Roman" w:eastAsia="Times New Roman" w:hAnsi="Times New Roman" w:cs="Times New Roman"/>
          <w:sz w:val="24"/>
          <w:szCs w:val="24"/>
        </w:rPr>
        <w:t xml:space="preserve"> pārbaudes darba izpildes veids var būt mutisks, rakstisks, kombinēts, praktisks.</w:t>
      </w:r>
    </w:p>
    <w:p w14:paraId="0C258B64"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proofErr w:type="spellStart"/>
      <w:r>
        <w:rPr>
          <w:rFonts w:ascii="Times New Roman" w:eastAsia="Times New Roman" w:hAnsi="Times New Roman" w:cs="Times New Roman"/>
          <w:sz w:val="24"/>
          <w:szCs w:val="24"/>
        </w:rPr>
        <w:t>Formatīvo</w:t>
      </w:r>
      <w:proofErr w:type="spellEnd"/>
      <w:r>
        <w:rPr>
          <w:rFonts w:ascii="Times New Roman" w:eastAsia="Times New Roman" w:hAnsi="Times New Roman" w:cs="Times New Roman"/>
          <w:sz w:val="24"/>
          <w:szCs w:val="24"/>
        </w:rPr>
        <w:t xml:space="preserve"> vērtējumu var atspoguļot:</w:t>
      </w:r>
    </w:p>
    <w:p w14:paraId="1761322E" w14:textId="77777777" w:rsidR="00D06186" w:rsidRDefault="00EC60DB">
      <w:pPr>
        <w:shd w:val="clear" w:color="auto" w:fill="FFFFFF"/>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highlight w:val="white"/>
        </w:rPr>
        <w:t>1. 1. - 3. klasēm</w:t>
      </w:r>
      <w:r>
        <w:rPr>
          <w:rFonts w:ascii="Times New Roman" w:eastAsia="Times New Roman" w:hAnsi="Times New Roman" w:cs="Times New Roman"/>
          <w:sz w:val="24"/>
          <w:szCs w:val="24"/>
        </w:rPr>
        <w:t xml:space="preserve"> apguves līmeņos (S-sācis apgūt; T-turpina apgūt; A-apguvis; P-apguvis padziļināti);</w:t>
      </w:r>
    </w:p>
    <w:p w14:paraId="06CEC0B1"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procentos (%);</w:t>
      </w:r>
    </w:p>
    <w:p w14:paraId="44C2FFB2"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 diagnosticējošo vērtējumu atspoguļo procentu izteiksmē.</w:t>
      </w:r>
    </w:p>
    <w:p w14:paraId="07D82EC0" w14:textId="77777777" w:rsidR="00D06186" w:rsidRDefault="00EC60DB">
      <w:pPr>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 </w:t>
      </w:r>
      <w:proofErr w:type="spellStart"/>
      <w:r>
        <w:rPr>
          <w:rFonts w:ascii="Times New Roman" w:eastAsia="Times New Roman" w:hAnsi="Times New Roman" w:cs="Times New Roman"/>
          <w:b/>
          <w:sz w:val="24"/>
          <w:szCs w:val="24"/>
        </w:rPr>
        <w:t>Summatīvo</w:t>
      </w:r>
      <w:proofErr w:type="spellEnd"/>
      <w:r>
        <w:rPr>
          <w:rFonts w:ascii="Times New Roman" w:eastAsia="Times New Roman" w:hAnsi="Times New Roman" w:cs="Times New Roman"/>
          <w:b/>
          <w:sz w:val="24"/>
          <w:szCs w:val="24"/>
        </w:rPr>
        <w:t xml:space="preserve"> vērtējumu atspoguļo:</w:t>
      </w:r>
    </w:p>
    <w:p w14:paraId="0B86427C" w14:textId="77777777"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1. – 3. klasēs</w:t>
      </w:r>
      <w:r>
        <w:rPr>
          <w:rFonts w:ascii="Times New Roman" w:eastAsia="Times New Roman" w:hAnsi="Times New Roman" w:cs="Times New Roman"/>
          <w:sz w:val="24"/>
          <w:szCs w:val="24"/>
        </w:rPr>
        <w:t xml:space="preserve"> – vērtē aprakstoši, sniegumu izsakot, 4 apguves līmeņos (S-sācis apgūt; T-turpina apgūt; A-apguvis; P-apguvis padziļināti) visos mācību priekšmetos.</w:t>
      </w:r>
    </w:p>
    <w:p w14:paraId="38B15482" w14:textId="77777777" w:rsidR="00D06186" w:rsidRDefault="00D06186">
      <w:pPr>
        <w:ind w:hanging="2"/>
        <w:jc w:val="both"/>
        <w:rPr>
          <w:rFonts w:ascii="Times New Roman" w:eastAsia="Times New Roman" w:hAnsi="Times New Roman" w:cs="Times New Roman"/>
          <w:sz w:val="24"/>
          <w:szCs w:val="24"/>
        </w:rPr>
      </w:pPr>
    </w:p>
    <w:tbl>
      <w:tblPr>
        <w:tblStyle w:val="a9"/>
        <w:tblW w:w="10617" w:type="dxa"/>
        <w:tblInd w:w="-990" w:type="dxa"/>
        <w:tblBorders>
          <w:top w:val="nil"/>
          <w:left w:val="nil"/>
          <w:bottom w:val="nil"/>
          <w:right w:val="nil"/>
          <w:insideH w:val="nil"/>
          <w:insideV w:val="nil"/>
        </w:tblBorders>
        <w:tblLayout w:type="fixed"/>
        <w:tblLook w:val="0600" w:firstRow="0" w:lastRow="0" w:firstColumn="0" w:lastColumn="0" w:noHBand="1" w:noVBand="1"/>
      </w:tblPr>
      <w:tblGrid>
        <w:gridCol w:w="562"/>
        <w:gridCol w:w="1815"/>
        <w:gridCol w:w="2037"/>
        <w:gridCol w:w="2159"/>
        <w:gridCol w:w="2037"/>
        <w:gridCol w:w="2007"/>
      </w:tblGrid>
      <w:tr w:rsidR="00D06186" w14:paraId="79C53EDC" w14:textId="77777777">
        <w:trPr>
          <w:trHeight w:val="904"/>
        </w:trPr>
        <w:tc>
          <w:tcPr>
            <w:tcW w:w="562" w:type="dxa"/>
            <w:tcBorders>
              <w:top w:val="single" w:sz="6" w:space="0" w:color="414142"/>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0603C151" w14:textId="77777777" w:rsidR="00D06186" w:rsidRDefault="00EC60DB">
            <w:pPr>
              <w:spacing w:before="240" w:after="240"/>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815"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591BFBD8" w14:textId="77777777" w:rsidR="00D06186" w:rsidRDefault="00EC60DB">
            <w:pPr>
              <w:spacing w:before="24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Kritērijs</w:t>
            </w:r>
          </w:p>
        </w:tc>
        <w:tc>
          <w:tcPr>
            <w:tcW w:w="2037"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219968E2" w14:textId="77777777" w:rsidR="00D06186" w:rsidRDefault="00EC60DB">
            <w:pPr>
              <w:spacing w:before="24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Sācis apgūt (S)</w:t>
            </w:r>
          </w:p>
          <w:p w14:paraId="155970A8" w14:textId="77777777" w:rsidR="00D06186" w:rsidRDefault="00EC60DB">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- 40%</w:t>
            </w:r>
          </w:p>
          <w:p w14:paraId="2343AC9B" w14:textId="77777777" w:rsidR="00D06186" w:rsidRDefault="00D06186">
            <w:pPr>
              <w:ind w:hanging="2"/>
              <w:rPr>
                <w:rFonts w:ascii="Times New Roman" w:eastAsia="Times New Roman" w:hAnsi="Times New Roman" w:cs="Times New Roman"/>
                <w:sz w:val="24"/>
                <w:szCs w:val="24"/>
              </w:rPr>
            </w:pPr>
          </w:p>
        </w:tc>
        <w:tc>
          <w:tcPr>
            <w:tcW w:w="2159"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76418C66" w14:textId="77777777" w:rsidR="00D06186" w:rsidRDefault="00EC60DB">
            <w:pPr>
              <w:spacing w:before="24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Turpina apgūt (T)</w:t>
            </w:r>
          </w:p>
          <w:p w14:paraId="4BB419F1" w14:textId="77777777" w:rsidR="00D06186" w:rsidRDefault="00EC60DB">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41%-66%</w:t>
            </w:r>
          </w:p>
        </w:tc>
        <w:tc>
          <w:tcPr>
            <w:tcW w:w="2037"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57541A2D" w14:textId="77777777" w:rsidR="00D06186" w:rsidRDefault="00EC60DB">
            <w:pPr>
              <w:spacing w:before="24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Apguvis (A)</w:t>
            </w:r>
          </w:p>
          <w:p w14:paraId="507D1234" w14:textId="77777777" w:rsidR="00D06186" w:rsidRDefault="00EC60DB">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67%- 86%</w:t>
            </w:r>
          </w:p>
        </w:tc>
        <w:tc>
          <w:tcPr>
            <w:tcW w:w="2007"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69303745" w14:textId="77777777" w:rsidR="00D06186" w:rsidRDefault="00EC60DB">
            <w:pPr>
              <w:spacing w:before="24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Apguvis padziļināti (P)87%-100%</w:t>
            </w:r>
          </w:p>
        </w:tc>
      </w:tr>
      <w:tr w:rsidR="00D06186" w14:paraId="428D87E4" w14:textId="77777777">
        <w:trPr>
          <w:trHeight w:val="4101"/>
        </w:trPr>
        <w:tc>
          <w:tcPr>
            <w:tcW w:w="562"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1F09743C" w14:textId="77777777" w:rsidR="00D06186" w:rsidRDefault="00EC60DB">
            <w:pPr>
              <w:spacing w:before="200" w:after="24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1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8BCF471"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Demonstrēto zināšanu, izpratnes, </w:t>
            </w:r>
            <w:proofErr w:type="spellStart"/>
            <w:r>
              <w:rPr>
                <w:rFonts w:ascii="Times New Roman" w:eastAsia="Times New Roman" w:hAnsi="Times New Roman" w:cs="Times New Roman"/>
                <w:sz w:val="24"/>
                <w:szCs w:val="24"/>
              </w:rPr>
              <w:t>pamatprasmju</w:t>
            </w:r>
            <w:proofErr w:type="spellEnd"/>
            <w:r>
              <w:rPr>
                <w:rFonts w:ascii="Times New Roman" w:eastAsia="Times New Roman" w:hAnsi="Times New Roman" w:cs="Times New Roman"/>
                <w:sz w:val="24"/>
                <w:szCs w:val="24"/>
              </w:rPr>
              <w:t xml:space="preserve"> mācību jomā, caurviju prasmju apjoms un kvalitāte</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13FA7A4E"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Izglītojamā sniegums (demonstrētās zināšanas, izpratne, </w:t>
            </w:r>
            <w:proofErr w:type="spellStart"/>
            <w:r>
              <w:rPr>
                <w:rFonts w:ascii="Times New Roman" w:eastAsia="Times New Roman" w:hAnsi="Times New Roman" w:cs="Times New Roman"/>
                <w:sz w:val="24"/>
                <w:szCs w:val="24"/>
              </w:rPr>
              <w:t>pamatprasmes</w:t>
            </w:r>
            <w:proofErr w:type="spellEnd"/>
            <w:r>
              <w:rPr>
                <w:rFonts w:ascii="Times New Roman" w:eastAsia="Times New Roman" w:hAnsi="Times New Roman" w:cs="Times New Roman"/>
                <w:sz w:val="24"/>
                <w:szCs w:val="24"/>
              </w:rPr>
              <w:t xml:space="preserve"> mācību jomā un caurviju prasmes) liecina, ka ir uzsākta plānotā sasniedzamā rezultāta apguve.</w:t>
            </w:r>
          </w:p>
        </w:tc>
        <w:tc>
          <w:tcPr>
            <w:tcW w:w="2159"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B32C15B"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Izglītojamā sniegums (demonstrētās zināšanas, izpratne, </w:t>
            </w:r>
            <w:proofErr w:type="spellStart"/>
            <w:r>
              <w:rPr>
                <w:rFonts w:ascii="Times New Roman" w:eastAsia="Times New Roman" w:hAnsi="Times New Roman" w:cs="Times New Roman"/>
                <w:sz w:val="24"/>
                <w:szCs w:val="24"/>
              </w:rPr>
              <w:t>pamatprasmes</w:t>
            </w:r>
            <w:proofErr w:type="spellEnd"/>
            <w:r>
              <w:rPr>
                <w:rFonts w:ascii="Times New Roman" w:eastAsia="Times New Roman" w:hAnsi="Times New Roman" w:cs="Times New Roman"/>
                <w:sz w:val="24"/>
                <w:szCs w:val="24"/>
              </w:rPr>
              <w:t xml:space="preserve"> mācību jomā un caurviju prasmes) liecina, ka plānotais sasniedzamais rezultāts sasniegts daļēji un tas nav noturīgs.</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35306A52"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Izglītojamā sniegums (demonstrētās zināšanas, izpratne, </w:t>
            </w:r>
            <w:proofErr w:type="spellStart"/>
            <w:r>
              <w:rPr>
                <w:rFonts w:ascii="Times New Roman" w:eastAsia="Times New Roman" w:hAnsi="Times New Roman" w:cs="Times New Roman"/>
                <w:sz w:val="24"/>
                <w:szCs w:val="24"/>
              </w:rPr>
              <w:t>pamatprasmes</w:t>
            </w:r>
            <w:proofErr w:type="spellEnd"/>
            <w:r>
              <w:rPr>
                <w:rFonts w:ascii="Times New Roman" w:eastAsia="Times New Roman" w:hAnsi="Times New Roman" w:cs="Times New Roman"/>
                <w:sz w:val="24"/>
                <w:szCs w:val="24"/>
              </w:rPr>
              <w:t xml:space="preserve"> mācību jomā un caurviju prasmes) liecina, ka plānotais sasniedzamais rezultāts sasniegts pilnībā un tas ir noturīgs.</w:t>
            </w:r>
          </w:p>
        </w:tc>
        <w:tc>
          <w:tcPr>
            <w:tcW w:w="200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1D6B905A"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Izglītojamā sniegums (demonstrētās zināšanas, izpratne, </w:t>
            </w:r>
            <w:proofErr w:type="spellStart"/>
            <w:r>
              <w:rPr>
                <w:rFonts w:ascii="Times New Roman" w:eastAsia="Times New Roman" w:hAnsi="Times New Roman" w:cs="Times New Roman"/>
                <w:sz w:val="24"/>
                <w:szCs w:val="24"/>
              </w:rPr>
              <w:t>pamatprasmes</w:t>
            </w:r>
            <w:proofErr w:type="spellEnd"/>
            <w:r>
              <w:rPr>
                <w:rFonts w:ascii="Times New Roman" w:eastAsia="Times New Roman" w:hAnsi="Times New Roman" w:cs="Times New Roman"/>
                <w:sz w:val="24"/>
                <w:szCs w:val="24"/>
              </w:rPr>
              <w:t xml:space="preserve"> mācību jomā un caurviju prasmes) liecina, ka plānotais sasniedzamais rezultāts sasniegts padziļināti un tas ir noturīgs.</w:t>
            </w:r>
          </w:p>
        </w:tc>
      </w:tr>
      <w:tr w:rsidR="00D06186" w14:paraId="4F67D818" w14:textId="77777777">
        <w:trPr>
          <w:trHeight w:val="2071"/>
        </w:trPr>
        <w:tc>
          <w:tcPr>
            <w:tcW w:w="562"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4AA2FC56" w14:textId="77777777" w:rsidR="00D06186" w:rsidRDefault="00EC60DB">
            <w:pPr>
              <w:spacing w:before="200" w:after="24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1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9B74628"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nepieciešamība</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370B6158"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Izglītojamajam nepieciešams atbalsts un regulāri pedagoga apstiprinājumi uzdevuma izpildei.</w:t>
            </w:r>
          </w:p>
        </w:tc>
        <w:tc>
          <w:tcPr>
            <w:tcW w:w="2159"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AA24DA0"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Izglītojamajam dažkārt nepieciešams pamudinājums, lai sekotu uzdevuma izpildei.</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F88D91A"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uzdevumu izpilda patstāvīgi.</w:t>
            </w:r>
          </w:p>
        </w:tc>
        <w:tc>
          <w:tcPr>
            <w:tcW w:w="200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FFD9C73"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uzdevumu izpilda patstāvīgi, spēj pamatot atbilstošās stratēģijas izvēli.</w:t>
            </w:r>
          </w:p>
        </w:tc>
      </w:tr>
      <w:tr w:rsidR="00D06186" w14:paraId="7591764B" w14:textId="77777777">
        <w:trPr>
          <w:trHeight w:val="2597"/>
        </w:trPr>
        <w:tc>
          <w:tcPr>
            <w:tcW w:w="562"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5DD9F545" w14:textId="77777777" w:rsidR="00D06186" w:rsidRDefault="00EC60DB">
            <w:pPr>
              <w:spacing w:before="200" w:after="24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1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DA34F21"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Spēja lietot apgūto tipveida vai nepazīstamā situācijā</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D1F7084"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demonstrē sniegumu ar pedagoga atbalstu zināmā tipveida situācijā.</w:t>
            </w:r>
          </w:p>
        </w:tc>
        <w:tc>
          <w:tcPr>
            <w:tcW w:w="2159"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A2C5563"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demonstrē sniegumu pārsvarā patstāvīgi tipveida situācijā, atsevišķā gadījumā – arī mazāk zināmā situācijā, ja nepieciešams, izmanto atbalsta materiālus.</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1D4A436"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demonstrē sniegumu gan zināmā tipveida situācijā, gan nepazīstamā situācijā.</w:t>
            </w:r>
          </w:p>
        </w:tc>
        <w:tc>
          <w:tcPr>
            <w:tcW w:w="200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75AC7F02"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demonstrē sniegumu zināmā tipveida situācijā, nepazīstamā situācijā un starpdisciplinārā situācijā.</w:t>
            </w:r>
          </w:p>
        </w:tc>
      </w:tr>
    </w:tbl>
    <w:p w14:paraId="68742423" w14:textId="77777777" w:rsidR="00D06186" w:rsidRDefault="00D06186">
      <w:pPr>
        <w:spacing w:before="120" w:after="120"/>
        <w:ind w:hanging="2"/>
        <w:jc w:val="both"/>
        <w:rPr>
          <w:rFonts w:ascii="Times New Roman" w:eastAsia="Times New Roman" w:hAnsi="Times New Roman" w:cs="Times New Roman"/>
          <w:sz w:val="24"/>
          <w:szCs w:val="24"/>
        </w:rPr>
      </w:pPr>
    </w:p>
    <w:p w14:paraId="4A9B4D86" w14:textId="77777777" w:rsidR="00D06186" w:rsidRDefault="00EC60DB">
      <w:pPr>
        <w:spacing w:before="120"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Izglītojamo</w:t>
      </w:r>
      <w:r>
        <w:rPr>
          <w:rFonts w:ascii="Times New Roman" w:eastAsia="Times New Roman" w:hAnsi="Times New Roman" w:cs="Times New Roman"/>
          <w:sz w:val="24"/>
          <w:szCs w:val="24"/>
          <w:highlight w:val="white"/>
        </w:rPr>
        <w:t xml:space="preserve"> mācību sasniegumus mācību priekšmetā izsaka 10 </w:t>
      </w:r>
      <w:proofErr w:type="spellStart"/>
      <w:r>
        <w:rPr>
          <w:rFonts w:ascii="Times New Roman" w:eastAsia="Times New Roman" w:hAnsi="Times New Roman" w:cs="Times New Roman"/>
          <w:sz w:val="24"/>
          <w:szCs w:val="24"/>
          <w:highlight w:val="white"/>
        </w:rPr>
        <w:t>ballu</w:t>
      </w:r>
      <w:proofErr w:type="spellEnd"/>
      <w:r>
        <w:rPr>
          <w:rFonts w:ascii="Times New Roman" w:eastAsia="Times New Roman" w:hAnsi="Times New Roman" w:cs="Times New Roman"/>
          <w:sz w:val="24"/>
          <w:szCs w:val="24"/>
          <w:highlight w:val="white"/>
        </w:rPr>
        <w:t xml:space="preserve"> skalā:</w:t>
      </w:r>
    </w:p>
    <w:tbl>
      <w:tblPr>
        <w:tblStyle w:val="aa"/>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9"/>
        <w:gridCol w:w="2847"/>
        <w:gridCol w:w="2719"/>
      </w:tblGrid>
      <w:tr w:rsidR="00D06186" w14:paraId="2A037B4D" w14:textId="77777777">
        <w:trPr>
          <w:trHeight w:val="306"/>
          <w:jc w:val="center"/>
        </w:trPr>
        <w:tc>
          <w:tcPr>
            <w:tcW w:w="1659" w:type="dxa"/>
          </w:tcPr>
          <w:p w14:paraId="42F9DC5B"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Vērtējums</w:t>
            </w:r>
          </w:p>
        </w:tc>
        <w:tc>
          <w:tcPr>
            <w:tcW w:w="2847" w:type="dxa"/>
          </w:tcPr>
          <w:p w14:paraId="06875E43"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Vērtējums vārdos</w:t>
            </w:r>
          </w:p>
        </w:tc>
        <w:tc>
          <w:tcPr>
            <w:tcW w:w="2719" w:type="dxa"/>
          </w:tcPr>
          <w:p w14:paraId="1237E398"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Vērtējums procentos</w:t>
            </w:r>
          </w:p>
          <w:p w14:paraId="0522FAFD"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-līdz</w:t>
            </w:r>
          </w:p>
        </w:tc>
      </w:tr>
      <w:tr w:rsidR="00D06186" w14:paraId="52B8D731" w14:textId="77777777">
        <w:trPr>
          <w:trHeight w:val="286"/>
          <w:jc w:val="center"/>
        </w:trPr>
        <w:tc>
          <w:tcPr>
            <w:tcW w:w="1659" w:type="dxa"/>
          </w:tcPr>
          <w:p w14:paraId="629E0612"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balles</w:t>
            </w:r>
          </w:p>
        </w:tc>
        <w:tc>
          <w:tcPr>
            <w:tcW w:w="2847" w:type="dxa"/>
          </w:tcPr>
          <w:p w14:paraId="635BDD38"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izcili</w:t>
            </w:r>
          </w:p>
        </w:tc>
        <w:tc>
          <w:tcPr>
            <w:tcW w:w="2719" w:type="dxa"/>
          </w:tcPr>
          <w:p w14:paraId="564290C6"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95%-100%</w:t>
            </w:r>
          </w:p>
        </w:tc>
      </w:tr>
      <w:tr w:rsidR="00D06186" w14:paraId="184D138B" w14:textId="77777777">
        <w:trPr>
          <w:trHeight w:val="286"/>
          <w:jc w:val="center"/>
        </w:trPr>
        <w:tc>
          <w:tcPr>
            <w:tcW w:w="1659" w:type="dxa"/>
          </w:tcPr>
          <w:p w14:paraId="182455C9"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balles</w:t>
            </w:r>
          </w:p>
        </w:tc>
        <w:tc>
          <w:tcPr>
            <w:tcW w:w="2847" w:type="dxa"/>
          </w:tcPr>
          <w:p w14:paraId="44FBB179"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teicami</w:t>
            </w:r>
          </w:p>
        </w:tc>
        <w:tc>
          <w:tcPr>
            <w:tcW w:w="2719" w:type="dxa"/>
          </w:tcPr>
          <w:p w14:paraId="06D4444E"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 - 94,9%</w:t>
            </w:r>
          </w:p>
        </w:tc>
      </w:tr>
      <w:tr w:rsidR="00D06186" w14:paraId="64097B7A" w14:textId="77777777">
        <w:trPr>
          <w:trHeight w:val="270"/>
          <w:jc w:val="center"/>
        </w:trPr>
        <w:tc>
          <w:tcPr>
            <w:tcW w:w="1659" w:type="dxa"/>
          </w:tcPr>
          <w:p w14:paraId="5FF37F9B"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balles</w:t>
            </w:r>
          </w:p>
        </w:tc>
        <w:tc>
          <w:tcPr>
            <w:tcW w:w="2847" w:type="dxa"/>
          </w:tcPr>
          <w:p w14:paraId="1B733B6C"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ļoti labi</w:t>
            </w:r>
          </w:p>
        </w:tc>
        <w:tc>
          <w:tcPr>
            <w:tcW w:w="2719" w:type="dxa"/>
          </w:tcPr>
          <w:p w14:paraId="2EBB571B"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 - 86,9%</w:t>
            </w:r>
          </w:p>
        </w:tc>
      </w:tr>
      <w:tr w:rsidR="00D06186" w14:paraId="4D3F13C3" w14:textId="77777777">
        <w:trPr>
          <w:trHeight w:val="286"/>
          <w:jc w:val="center"/>
        </w:trPr>
        <w:tc>
          <w:tcPr>
            <w:tcW w:w="1659" w:type="dxa"/>
          </w:tcPr>
          <w:p w14:paraId="5AD2DAE6"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balles</w:t>
            </w:r>
          </w:p>
        </w:tc>
        <w:tc>
          <w:tcPr>
            <w:tcW w:w="2847" w:type="dxa"/>
          </w:tcPr>
          <w:p w14:paraId="662492C1"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labi</w:t>
            </w:r>
          </w:p>
        </w:tc>
        <w:tc>
          <w:tcPr>
            <w:tcW w:w="2719" w:type="dxa"/>
          </w:tcPr>
          <w:p w14:paraId="241ED0DA"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 - 76,9%</w:t>
            </w:r>
          </w:p>
        </w:tc>
      </w:tr>
      <w:tr w:rsidR="00D06186" w14:paraId="1F3CCCC6" w14:textId="77777777">
        <w:trPr>
          <w:trHeight w:val="270"/>
          <w:jc w:val="center"/>
        </w:trPr>
        <w:tc>
          <w:tcPr>
            <w:tcW w:w="1659" w:type="dxa"/>
          </w:tcPr>
          <w:p w14:paraId="07E5EE25"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balles</w:t>
            </w:r>
          </w:p>
        </w:tc>
        <w:tc>
          <w:tcPr>
            <w:tcW w:w="2847" w:type="dxa"/>
          </w:tcPr>
          <w:p w14:paraId="1AEDADCD"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gandrīz labi</w:t>
            </w:r>
          </w:p>
        </w:tc>
        <w:tc>
          <w:tcPr>
            <w:tcW w:w="2719" w:type="dxa"/>
          </w:tcPr>
          <w:p w14:paraId="2B315955"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 - 66,9%</w:t>
            </w:r>
          </w:p>
        </w:tc>
      </w:tr>
      <w:tr w:rsidR="00D06186" w14:paraId="056C5486" w14:textId="77777777">
        <w:trPr>
          <w:trHeight w:val="286"/>
          <w:jc w:val="center"/>
        </w:trPr>
        <w:tc>
          <w:tcPr>
            <w:tcW w:w="1659" w:type="dxa"/>
          </w:tcPr>
          <w:p w14:paraId="7A8898ED"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balles</w:t>
            </w:r>
          </w:p>
        </w:tc>
        <w:tc>
          <w:tcPr>
            <w:tcW w:w="2847" w:type="dxa"/>
          </w:tcPr>
          <w:p w14:paraId="655FA37F"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viduvēji</w:t>
            </w:r>
          </w:p>
        </w:tc>
        <w:tc>
          <w:tcPr>
            <w:tcW w:w="2719" w:type="dxa"/>
          </w:tcPr>
          <w:p w14:paraId="21103274"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- 54,9%</w:t>
            </w:r>
          </w:p>
        </w:tc>
      </w:tr>
      <w:tr w:rsidR="00D06186" w14:paraId="675788A3" w14:textId="77777777">
        <w:trPr>
          <w:trHeight w:val="270"/>
          <w:jc w:val="center"/>
        </w:trPr>
        <w:tc>
          <w:tcPr>
            <w:tcW w:w="1659" w:type="dxa"/>
          </w:tcPr>
          <w:p w14:paraId="27F35DFD"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balles</w:t>
            </w:r>
          </w:p>
        </w:tc>
        <w:tc>
          <w:tcPr>
            <w:tcW w:w="2847" w:type="dxa"/>
          </w:tcPr>
          <w:p w14:paraId="3E698D6D"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gandrīz viduvēji</w:t>
            </w:r>
          </w:p>
        </w:tc>
        <w:tc>
          <w:tcPr>
            <w:tcW w:w="2719" w:type="dxa"/>
          </w:tcPr>
          <w:p w14:paraId="72635241"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- 40,9%</w:t>
            </w:r>
          </w:p>
        </w:tc>
      </w:tr>
      <w:tr w:rsidR="00D06186" w14:paraId="009128CC" w14:textId="77777777">
        <w:trPr>
          <w:trHeight w:val="286"/>
          <w:jc w:val="center"/>
        </w:trPr>
        <w:tc>
          <w:tcPr>
            <w:tcW w:w="1659" w:type="dxa"/>
          </w:tcPr>
          <w:p w14:paraId="2421CD54"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balles</w:t>
            </w:r>
          </w:p>
        </w:tc>
        <w:tc>
          <w:tcPr>
            <w:tcW w:w="2847" w:type="dxa"/>
          </w:tcPr>
          <w:p w14:paraId="3FCEC983"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vāji</w:t>
            </w:r>
          </w:p>
        </w:tc>
        <w:tc>
          <w:tcPr>
            <w:tcW w:w="2719" w:type="dxa"/>
          </w:tcPr>
          <w:p w14:paraId="7B1570B1"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- 30,9%</w:t>
            </w:r>
          </w:p>
        </w:tc>
      </w:tr>
      <w:tr w:rsidR="00D06186" w14:paraId="712D8CB3" w14:textId="77777777">
        <w:trPr>
          <w:trHeight w:val="286"/>
          <w:jc w:val="center"/>
        </w:trPr>
        <w:tc>
          <w:tcPr>
            <w:tcW w:w="1659" w:type="dxa"/>
          </w:tcPr>
          <w:p w14:paraId="5BD6BC33"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balles</w:t>
            </w:r>
          </w:p>
        </w:tc>
        <w:tc>
          <w:tcPr>
            <w:tcW w:w="2847" w:type="dxa"/>
          </w:tcPr>
          <w:p w14:paraId="57FEE32B"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ļoti vāji</w:t>
            </w:r>
          </w:p>
        </w:tc>
        <w:tc>
          <w:tcPr>
            <w:tcW w:w="2719" w:type="dxa"/>
          </w:tcPr>
          <w:p w14:paraId="685DCA7A"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- 20,9%</w:t>
            </w:r>
          </w:p>
        </w:tc>
      </w:tr>
      <w:tr w:rsidR="00D06186" w14:paraId="3BEC7B1B" w14:textId="77777777">
        <w:trPr>
          <w:trHeight w:val="270"/>
          <w:jc w:val="center"/>
        </w:trPr>
        <w:tc>
          <w:tcPr>
            <w:tcW w:w="1659" w:type="dxa"/>
          </w:tcPr>
          <w:p w14:paraId="7B7B9BD2"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balle</w:t>
            </w:r>
          </w:p>
        </w:tc>
        <w:tc>
          <w:tcPr>
            <w:tcW w:w="2847" w:type="dxa"/>
          </w:tcPr>
          <w:p w14:paraId="5015BD9A"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ļoti, ļoti vāji</w:t>
            </w:r>
          </w:p>
        </w:tc>
        <w:tc>
          <w:tcPr>
            <w:tcW w:w="2719" w:type="dxa"/>
          </w:tcPr>
          <w:p w14:paraId="6D178F97"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0%- 10,9%</w:t>
            </w:r>
          </w:p>
        </w:tc>
      </w:tr>
    </w:tbl>
    <w:p w14:paraId="7A3BA055" w14:textId="77777777" w:rsidR="00D06186" w:rsidRDefault="00D06186">
      <w:pPr>
        <w:ind w:hanging="2"/>
        <w:jc w:val="both"/>
        <w:rPr>
          <w:rFonts w:ascii="Times New Roman" w:eastAsia="Times New Roman" w:hAnsi="Times New Roman" w:cs="Times New Roman"/>
          <w:b/>
          <w:sz w:val="24"/>
          <w:szCs w:val="24"/>
        </w:rPr>
      </w:pPr>
    </w:p>
    <w:p w14:paraId="5C82E1CD"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Mācību sasniegumu vērtējumu 10 </w:t>
      </w:r>
      <w:proofErr w:type="spellStart"/>
      <w:r>
        <w:rPr>
          <w:rFonts w:ascii="Times New Roman" w:eastAsia="Times New Roman" w:hAnsi="Times New Roman" w:cs="Times New Roman"/>
          <w:sz w:val="24"/>
          <w:szCs w:val="24"/>
        </w:rPr>
        <w:t>ballu</w:t>
      </w:r>
      <w:proofErr w:type="spellEnd"/>
      <w:r>
        <w:rPr>
          <w:rFonts w:ascii="Times New Roman" w:eastAsia="Times New Roman" w:hAnsi="Times New Roman" w:cs="Times New Roman"/>
          <w:sz w:val="24"/>
          <w:szCs w:val="24"/>
        </w:rPr>
        <w:t xml:space="preserve"> skalā veido šādi kritēriji:</w:t>
      </w:r>
    </w:p>
    <w:p w14:paraId="241D584E"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Snieguma līmeņu apraksts 4.–9. klašu izglītojamo mācību sasniegumu vērtēšanai </w:t>
      </w:r>
    </w:p>
    <w:tbl>
      <w:tblPr>
        <w:tblStyle w:val="ab"/>
        <w:tblW w:w="11176" w:type="dxa"/>
        <w:tblInd w:w="-1426" w:type="dxa"/>
        <w:tblBorders>
          <w:top w:val="nil"/>
          <w:left w:val="nil"/>
          <w:bottom w:val="nil"/>
          <w:right w:val="nil"/>
          <w:insideH w:val="nil"/>
          <w:insideV w:val="nil"/>
        </w:tblBorders>
        <w:tblLayout w:type="fixed"/>
        <w:tblLook w:val="0600" w:firstRow="0" w:lastRow="0" w:firstColumn="0" w:lastColumn="0" w:noHBand="1" w:noVBand="1"/>
      </w:tblPr>
      <w:tblGrid>
        <w:gridCol w:w="616"/>
        <w:gridCol w:w="2025"/>
        <w:gridCol w:w="1185"/>
        <w:gridCol w:w="1275"/>
        <w:gridCol w:w="1800"/>
        <w:gridCol w:w="1920"/>
        <w:gridCol w:w="2355"/>
      </w:tblGrid>
      <w:tr w:rsidR="00D06186" w14:paraId="032A6DD2" w14:textId="77777777">
        <w:trPr>
          <w:trHeight w:val="565"/>
        </w:trPr>
        <w:tc>
          <w:tcPr>
            <w:tcW w:w="616" w:type="dxa"/>
            <w:tcBorders>
              <w:top w:val="single" w:sz="6" w:space="0" w:color="414142"/>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14D17238"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2025"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42178591" w14:textId="77777777" w:rsidR="00D06186" w:rsidRDefault="00EC60DB">
            <w:pPr>
              <w:spacing w:before="100" w:after="10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Snieguma līmenis</w:t>
            </w:r>
          </w:p>
        </w:tc>
        <w:tc>
          <w:tcPr>
            <w:tcW w:w="2460" w:type="dxa"/>
            <w:gridSpan w:val="2"/>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1B6BE07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Sācis apgūt</w:t>
            </w:r>
          </w:p>
        </w:tc>
        <w:tc>
          <w:tcPr>
            <w:tcW w:w="1800"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1490334B"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Turpina apgūt</w:t>
            </w:r>
          </w:p>
        </w:tc>
        <w:tc>
          <w:tcPr>
            <w:tcW w:w="1920"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7B0C7ED6"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Apguvis</w:t>
            </w:r>
          </w:p>
        </w:tc>
        <w:tc>
          <w:tcPr>
            <w:tcW w:w="2355"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296AD998"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Apguvis padziļināti</w:t>
            </w:r>
          </w:p>
        </w:tc>
      </w:tr>
      <w:tr w:rsidR="00D06186" w14:paraId="764A2A5F" w14:textId="77777777">
        <w:trPr>
          <w:trHeight w:val="595"/>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0DC3BD5A"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943D1AF" w14:textId="77777777" w:rsidR="00D06186" w:rsidRDefault="00EC60DB">
            <w:pPr>
              <w:spacing w:before="100" w:after="10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Balles</w:t>
            </w:r>
          </w:p>
        </w:tc>
        <w:tc>
          <w:tcPr>
            <w:tcW w:w="118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9CFE298"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w:t>
            </w:r>
          </w:p>
        </w:tc>
        <w:tc>
          <w:tcPr>
            <w:tcW w:w="127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734A7A7"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A10819E"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5–6</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56495CF8"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7–8</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57807660"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9–10</w:t>
            </w:r>
          </w:p>
        </w:tc>
      </w:tr>
      <w:tr w:rsidR="00D06186" w14:paraId="37FD0428" w14:textId="77777777">
        <w:trPr>
          <w:trHeight w:val="660"/>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16487520"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74C214C7" w14:textId="77777777" w:rsidR="00D06186" w:rsidRDefault="00EC60DB">
            <w:pPr>
              <w:spacing w:before="100" w:after="10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Apguves procenti</w:t>
            </w:r>
          </w:p>
        </w:tc>
        <w:tc>
          <w:tcPr>
            <w:tcW w:w="118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54A4136C"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0–20,9 %</w:t>
            </w:r>
          </w:p>
        </w:tc>
        <w:tc>
          <w:tcPr>
            <w:tcW w:w="127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3589FD43"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21–40,9 %</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9C5C3D1"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41–66,9 %</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2F5DF8D"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67–86,9 %</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D8DE7A9"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87–100 %</w:t>
            </w:r>
          </w:p>
        </w:tc>
      </w:tr>
      <w:tr w:rsidR="00D06186" w14:paraId="3D0E9ADE" w14:textId="77777777">
        <w:trPr>
          <w:trHeight w:val="580"/>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00954123"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10560" w:type="dxa"/>
            <w:gridSpan w:val="6"/>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78F07D94" w14:textId="77777777" w:rsidR="00D06186" w:rsidRDefault="00EC60DB">
            <w:pPr>
              <w:spacing w:before="100" w:after="10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Kritēriji </w:t>
            </w:r>
          </w:p>
        </w:tc>
      </w:tr>
      <w:tr w:rsidR="00D06186" w14:paraId="470B49C9" w14:textId="77777777">
        <w:trPr>
          <w:trHeight w:val="3075"/>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7457FEA7"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ED13BDC"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Demonstrēto zināšanu, izpratnes, prasmju mācību jomā un caurviju prasmju apjoms un kvalitāte</w:t>
            </w:r>
          </w:p>
        </w:tc>
        <w:tc>
          <w:tcPr>
            <w:tcW w:w="2460" w:type="dxa"/>
            <w:gridSpan w:val="2"/>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BF2560A"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izmanto vienu atbilstošu ideju vai prasmi situācijā, kurā ir šaurs disciplinārs / mācību jomas konteksts.</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ADBA5DC"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izmanto vairākas savstarpēji nesaistītas idejas vai prasmes šaurā disciplinārā / mācību jomas kontekstā.</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776B5D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kurā izmanto vairākas idejas vai prasmes, veido savstarpējas sakarības disciplinārā / mācību jomas kontekstā.</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502C1AC1"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kurā izmanto vairākas atbilstošas idejas vai prasmes no dažādām disciplīnām / mācību jomām, veido savstarpējas sakarības un vispārina.</w:t>
            </w:r>
          </w:p>
        </w:tc>
      </w:tr>
      <w:tr w:rsidR="00D06186" w14:paraId="014B7488" w14:textId="77777777">
        <w:trPr>
          <w:trHeight w:val="2130"/>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171A7E89"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4.2</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E75116D"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Atbalsta nepieciešamība</w:t>
            </w:r>
          </w:p>
        </w:tc>
        <w:tc>
          <w:tcPr>
            <w:tcW w:w="2460" w:type="dxa"/>
            <w:gridSpan w:val="2"/>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1C2A83A0"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lieto doto vai jau zināmu paņēmienu ar pieejamo atbalstu.</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60862E0"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patstāvīgi lieto zināmu paņēmienu.</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AC5E55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izvēlas un patstāvīgi lieto atbilstošu paņēmienu vai pierakstu.</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4FD379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izvēlas un patstāvīgi lieto atbilstošu paņēmienu un, ja nepieciešams, pielāgo to.</w:t>
            </w:r>
          </w:p>
        </w:tc>
      </w:tr>
      <w:tr w:rsidR="00D06186" w14:paraId="73BEC9EF" w14:textId="77777777">
        <w:trPr>
          <w:trHeight w:val="2385"/>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46C22780"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4.3</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17225C8"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Spēja lietot apgūto tipveida un nepazīstamā situācijā</w:t>
            </w:r>
          </w:p>
        </w:tc>
        <w:tc>
          <w:tcPr>
            <w:tcW w:w="2460" w:type="dxa"/>
            <w:gridSpan w:val="2"/>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33202527"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 sniegumu zināmā tipveida situācijā.</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733E052F"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 sniegumu gan zināmā tipveida situācijā, gan mazāk zināmā situācijā.</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D59C8D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 sniegumu gan zināmā tipveida situācijā, gan nepazīstamā situācijā.</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87BE2F5"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 sniegumu gan zināmā tipveida situācijā, gan nepazīstamā, gan starpdisciplinārā situācijā.</w:t>
            </w:r>
          </w:p>
        </w:tc>
      </w:tr>
    </w:tbl>
    <w:p w14:paraId="7955DC78" w14:textId="77777777" w:rsidR="00D06186" w:rsidRDefault="00D06186">
      <w:pPr>
        <w:spacing w:after="120"/>
        <w:ind w:hanging="2"/>
        <w:jc w:val="both"/>
        <w:rPr>
          <w:rFonts w:ascii="Times New Roman" w:eastAsia="Times New Roman" w:hAnsi="Times New Roman" w:cs="Times New Roman"/>
          <w:sz w:val="24"/>
          <w:szCs w:val="24"/>
        </w:rPr>
      </w:pPr>
    </w:p>
    <w:p w14:paraId="6DF7D12A" w14:textId="77777777" w:rsidR="00D06186" w:rsidRDefault="00EC60DB">
      <w:pPr>
        <w:spacing w:after="12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Apzīmējumu „</w:t>
      </w:r>
      <w:proofErr w:type="spellStart"/>
      <w:r>
        <w:rPr>
          <w:rFonts w:ascii="Times New Roman" w:eastAsia="Times New Roman" w:hAnsi="Times New Roman" w:cs="Times New Roman"/>
          <w:sz w:val="24"/>
          <w:szCs w:val="24"/>
        </w:rPr>
        <w:t>nv</w:t>
      </w:r>
      <w:proofErr w:type="spellEnd"/>
      <w:r>
        <w:rPr>
          <w:rFonts w:ascii="Times New Roman" w:eastAsia="Times New Roman" w:hAnsi="Times New Roman" w:cs="Times New Roman"/>
          <w:sz w:val="24"/>
          <w:szCs w:val="24"/>
        </w:rPr>
        <w:t>” (nav vērtējuma) mācību snieguma vērtēšanā pedagogs lieto, ja izglītojamais:</w:t>
      </w:r>
    </w:p>
    <w:p w14:paraId="572035E9"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 nav piedalījies mācību stundā, kurā tika kārtots pedagoga noteiktais obligātais temata nobeiguma darbs, kurš izglītojamajam bija jāizpilda (apzīmējums – “n/</w:t>
      </w:r>
      <w:proofErr w:type="spellStart"/>
      <w:r>
        <w:rPr>
          <w:rFonts w:ascii="Times New Roman" w:eastAsia="Times New Roman" w:hAnsi="Times New Roman" w:cs="Times New Roman"/>
          <w:sz w:val="24"/>
          <w:szCs w:val="24"/>
        </w:rPr>
        <w:t>nv</w:t>
      </w:r>
      <w:proofErr w:type="spellEnd"/>
      <w:r>
        <w:rPr>
          <w:rFonts w:ascii="Times New Roman" w:eastAsia="Times New Roman" w:hAnsi="Times New Roman" w:cs="Times New Roman"/>
          <w:sz w:val="24"/>
          <w:szCs w:val="24"/>
        </w:rPr>
        <w:t>”).</w:t>
      </w:r>
    </w:p>
    <w:p w14:paraId="09C11D04"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 vērtējuma iegūšana „n/</w:t>
      </w:r>
      <w:proofErr w:type="spellStart"/>
      <w:r>
        <w:rPr>
          <w:rFonts w:ascii="Times New Roman" w:eastAsia="Times New Roman" w:hAnsi="Times New Roman" w:cs="Times New Roman"/>
          <w:sz w:val="24"/>
          <w:szCs w:val="24"/>
        </w:rPr>
        <w:t>nv</w:t>
      </w:r>
      <w:proofErr w:type="spellEnd"/>
      <w:r>
        <w:rPr>
          <w:rFonts w:ascii="Times New Roman" w:eastAsia="Times New Roman" w:hAnsi="Times New Roman" w:cs="Times New Roman"/>
          <w:sz w:val="24"/>
          <w:szCs w:val="24"/>
        </w:rPr>
        <w:t>” gadījumā:</w:t>
      </w:r>
    </w:p>
    <w:p w14:paraId="5082CF1C"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 atgriežoties skolā pēc attaisnotas prombūtnes, izglītojamais divu nedēļu laikā veic neizpildītos temata noslēguma darbus;</w:t>
      </w:r>
    </w:p>
    <w:p w14:paraId="455048E7"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4.6.2. izglītojamajam un skolotājam savstarpēji sadarbojoties jāvienojas par temata nobeiguma darba izpildes laiku un nepieciešamajām konsultācijām tam paredzētajās divās nedēļās;</w:t>
      </w:r>
    </w:p>
    <w:p w14:paraId="340996B1"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4.6.3. ja izglītojamais ilgstoši attaisnojošu iemeslu dēļ nav piedalījies mācību procesā un ir kārtojams liels skaits temata nobeiguma darbu, viņam ir tiesības sadarbībā ar klases audzinātāju lūgt laika limita pagarinājumu, sagatavot individuālo temata nobeiguma darba grafiku, saskaņojot to ar priekšmetu skolotājiem. Izņēmumu gadījumos skolotājs var sastādīt izglītojamajam kombinētu (apvienotu) temata nobeiguma darbu. Elektroniskajā žurnālā piezīmēs skolotājs ieraksta atbilstošu pierakstu.</w:t>
      </w:r>
    </w:p>
    <w:p w14:paraId="6EE6D6CB"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4.6.4. ja izglītojamais temata darba rakstīšanas dienā nav skolā, skolotājs E - klases žurnālā vienlaicīgi fiksē gan izglītojamā mācību priekšmeta stundas kavējumu (“n”), gan obligāti veicamā pārbaudes darba neizpildi (“</w:t>
      </w:r>
      <w:proofErr w:type="spellStart"/>
      <w:r>
        <w:rPr>
          <w:rFonts w:ascii="Times New Roman" w:eastAsia="Times New Roman" w:hAnsi="Times New Roman" w:cs="Times New Roman"/>
          <w:sz w:val="24"/>
          <w:szCs w:val="24"/>
        </w:rPr>
        <w:t>nv</w:t>
      </w:r>
      <w:proofErr w:type="spellEnd"/>
      <w:r>
        <w:rPr>
          <w:rFonts w:ascii="Times New Roman" w:eastAsia="Times New Roman" w:hAnsi="Times New Roman" w:cs="Times New Roman"/>
          <w:sz w:val="24"/>
          <w:szCs w:val="24"/>
        </w:rPr>
        <w:t>”), pēc temata darba veikšanas elektroniskajā žurnālā „</w:t>
      </w:r>
      <w:proofErr w:type="spellStart"/>
      <w:r>
        <w:rPr>
          <w:rFonts w:ascii="Times New Roman" w:eastAsia="Times New Roman" w:hAnsi="Times New Roman" w:cs="Times New Roman"/>
          <w:sz w:val="24"/>
          <w:szCs w:val="24"/>
        </w:rPr>
        <w:t>nv</w:t>
      </w:r>
      <w:proofErr w:type="spellEnd"/>
      <w:r>
        <w:rPr>
          <w:rFonts w:ascii="Times New Roman" w:eastAsia="Times New Roman" w:hAnsi="Times New Roman" w:cs="Times New Roman"/>
          <w:sz w:val="24"/>
          <w:szCs w:val="24"/>
        </w:rPr>
        <w:t>” vietā skolotājs ieraksta iegūto vērtējumu.</w:t>
      </w:r>
    </w:p>
    <w:p w14:paraId="28CB296D" w14:textId="77777777" w:rsidR="00D06186" w:rsidRDefault="00EC60DB">
      <w:pPr>
        <w:spacing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Mācību sasniegumu vērtēšanas plānošana un īstenošana</w:t>
      </w:r>
    </w:p>
    <w:p w14:paraId="150101DB"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Vērtējums atspoguļo izglītojamā sniegumu vērtēšanas brīdī attiecībā pret konkrētiem sasniedzamajiem rezultātiem (zināšanas, izpratne, prasmes mācību jomā, caurviju prasmes), </w:t>
      </w:r>
      <w:r>
        <w:rPr>
          <w:rFonts w:ascii="Times New Roman" w:eastAsia="Times New Roman" w:hAnsi="Times New Roman" w:cs="Times New Roman"/>
          <w:sz w:val="16"/>
          <w:szCs w:val="16"/>
        </w:rPr>
        <w:t xml:space="preserve"> </w:t>
      </w:r>
      <w:r>
        <w:rPr>
          <w:rFonts w:ascii="Times New Roman" w:eastAsia="Times New Roman" w:hAnsi="Times New Roman" w:cs="Times New Roman"/>
          <w:sz w:val="24"/>
          <w:szCs w:val="24"/>
        </w:rPr>
        <w:t xml:space="preserve">ikviena izglītojamā sniegumam piemērojot līdzvērtīgus nosacījumus un vienādus kritērijus. </w:t>
      </w:r>
    </w:p>
    <w:p w14:paraId="62B0FE6E"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Formatīvie</w:t>
      </w:r>
      <w:proofErr w:type="spellEnd"/>
      <w:r>
        <w:rPr>
          <w:rFonts w:ascii="Times New Roman" w:eastAsia="Times New Roman" w:hAnsi="Times New Roman" w:cs="Times New Roman"/>
          <w:sz w:val="24"/>
          <w:szCs w:val="24"/>
        </w:rPr>
        <w:t xml:space="preserve"> vērtējumi par būtiskiem izglītojamajiem sasniedzamajiem rezultātiem katra temata ietvaros tiek fiksēti </w:t>
      </w:r>
      <w:proofErr w:type="spellStart"/>
      <w:r>
        <w:rPr>
          <w:rFonts w:ascii="Times New Roman" w:eastAsia="Times New Roman" w:hAnsi="Times New Roman" w:cs="Times New Roman"/>
          <w:sz w:val="24"/>
          <w:szCs w:val="24"/>
        </w:rPr>
        <w:t>Skolvadības</w:t>
      </w:r>
      <w:proofErr w:type="spellEnd"/>
      <w:r>
        <w:rPr>
          <w:rFonts w:ascii="Times New Roman" w:eastAsia="Times New Roman" w:hAnsi="Times New Roman" w:cs="Times New Roman"/>
          <w:sz w:val="24"/>
          <w:szCs w:val="24"/>
        </w:rPr>
        <w:t xml:space="preserve"> sistēmā</w:t>
      </w:r>
      <w:r>
        <w:rPr>
          <w:rFonts w:ascii="Times New Roman" w:eastAsia="Times New Roman" w:hAnsi="Times New Roman" w:cs="Times New Roman"/>
          <w:sz w:val="24"/>
          <w:szCs w:val="24"/>
          <w:highlight w:val="white"/>
        </w:rPr>
        <w:t xml:space="preserve"> E – klase (turpmāk – E – klase.)</w:t>
      </w:r>
      <w:r>
        <w:rPr>
          <w:rFonts w:ascii="Times New Roman" w:eastAsia="Times New Roman" w:hAnsi="Times New Roman" w:cs="Times New Roman"/>
          <w:sz w:val="24"/>
          <w:szCs w:val="24"/>
        </w:rPr>
        <w:t xml:space="preserve"> Tos pedagogi izmanto, plānojot mācīšanu, savukārt izglītojamie, plānojot savu mācīšanos. </w:t>
      </w:r>
      <w:proofErr w:type="spellStart"/>
      <w:r>
        <w:rPr>
          <w:rFonts w:ascii="Times New Roman" w:eastAsia="Times New Roman" w:hAnsi="Times New Roman" w:cs="Times New Roman"/>
          <w:sz w:val="24"/>
          <w:szCs w:val="24"/>
        </w:rPr>
        <w:t>Formatīvie</w:t>
      </w:r>
      <w:proofErr w:type="spellEnd"/>
      <w:r>
        <w:rPr>
          <w:rFonts w:ascii="Times New Roman" w:eastAsia="Times New Roman" w:hAnsi="Times New Roman" w:cs="Times New Roman"/>
          <w:sz w:val="24"/>
          <w:szCs w:val="24"/>
        </w:rPr>
        <w:t xml:space="preserve"> vērtējumi neietekmē vērtējumu mācību gada beigās.</w:t>
      </w:r>
    </w:p>
    <w:p w14:paraId="3B1DB3ED" w14:textId="62B30A86"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Izglītojamo saņemtos </w:t>
      </w:r>
      <w:proofErr w:type="spellStart"/>
      <w:r>
        <w:rPr>
          <w:rFonts w:ascii="Times New Roman" w:eastAsia="Times New Roman" w:hAnsi="Times New Roman" w:cs="Times New Roman"/>
          <w:sz w:val="24"/>
          <w:szCs w:val="24"/>
        </w:rPr>
        <w:t>formatīvos</w:t>
      </w:r>
      <w:proofErr w:type="spellEnd"/>
      <w:r>
        <w:rPr>
          <w:rFonts w:ascii="Times New Roman" w:eastAsia="Times New Roman" w:hAnsi="Times New Roman" w:cs="Times New Roman"/>
          <w:sz w:val="24"/>
          <w:szCs w:val="24"/>
        </w:rPr>
        <w:t xml:space="preserve"> vērtējumus</w:t>
      </w:r>
      <w:r w:rsidR="00AA6165">
        <w:rPr>
          <w:rFonts w:ascii="Times New Roman" w:eastAsia="Times New Roman" w:hAnsi="Times New Roman" w:cs="Times New Roman"/>
          <w:sz w:val="24"/>
          <w:szCs w:val="24"/>
        </w:rPr>
        <w:t xml:space="preserve"> atspoguļo procentos, STAP</w:t>
      </w:r>
      <w:bookmarkStart w:id="0" w:name="_GoBack"/>
      <w:bookmarkEnd w:id="0"/>
      <w:r>
        <w:rPr>
          <w:rFonts w:ascii="Times New Roman" w:eastAsia="Times New Roman" w:hAnsi="Times New Roman" w:cs="Times New Roman"/>
          <w:sz w:val="24"/>
          <w:szCs w:val="24"/>
        </w:rPr>
        <w:t xml:space="preserve">. Pirms katra temata nobeiguma darba, jābūt vismaz vienam </w:t>
      </w:r>
      <w:proofErr w:type="spellStart"/>
      <w:r>
        <w:rPr>
          <w:rFonts w:ascii="Times New Roman" w:eastAsia="Times New Roman" w:hAnsi="Times New Roman" w:cs="Times New Roman"/>
          <w:sz w:val="24"/>
          <w:szCs w:val="24"/>
        </w:rPr>
        <w:t>formatīvajam</w:t>
      </w:r>
      <w:proofErr w:type="spellEnd"/>
      <w:r>
        <w:rPr>
          <w:rFonts w:ascii="Times New Roman" w:eastAsia="Times New Roman" w:hAnsi="Times New Roman" w:cs="Times New Roman"/>
          <w:sz w:val="24"/>
          <w:szCs w:val="24"/>
        </w:rPr>
        <w:t xml:space="preserve"> darbam.</w:t>
      </w:r>
    </w:p>
    <w:p w14:paraId="7D8C6F80" w14:textId="77777777" w:rsidR="00D06186" w:rsidRDefault="00D06186">
      <w:pPr>
        <w:ind w:hanging="2"/>
        <w:jc w:val="both"/>
        <w:rPr>
          <w:rFonts w:ascii="Times New Roman" w:eastAsia="Times New Roman" w:hAnsi="Times New Roman" w:cs="Times New Roman"/>
          <w:sz w:val="24"/>
          <w:szCs w:val="24"/>
        </w:rPr>
      </w:pPr>
    </w:p>
    <w:p w14:paraId="0F9E6AA1" w14:textId="77777777"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proofErr w:type="spellStart"/>
      <w:r>
        <w:rPr>
          <w:rFonts w:ascii="Times New Roman" w:eastAsia="Times New Roman" w:hAnsi="Times New Roman" w:cs="Times New Roman"/>
          <w:sz w:val="24"/>
          <w:szCs w:val="24"/>
        </w:rPr>
        <w:t>Summatīvajā</w:t>
      </w:r>
      <w:proofErr w:type="spellEnd"/>
      <w:r>
        <w:rPr>
          <w:rFonts w:ascii="Times New Roman" w:eastAsia="Times New Roman" w:hAnsi="Times New Roman" w:cs="Times New Roman"/>
          <w:sz w:val="24"/>
          <w:szCs w:val="24"/>
        </w:rPr>
        <w:t xml:space="preserve"> vērtēšanā 1.–3. klasēs vērtējumu izsaka apguves līmeņos: sācis apgūt (E-klasē apzīmē ar burtu “S”), turpina apgūt (E - klasē apzīmē ar burtu “T”), apguvis (E - klasē </w:t>
      </w:r>
    </w:p>
    <w:p w14:paraId="4B6D4FF8"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apzīmē ar burtu “A”), apguvis padziļināti (E - klasē apzīmē ar burtu “P”), izmantojot vienotas vērtēšanas kritēriju grupas (skat.4.3.1. punktu).</w:t>
      </w:r>
    </w:p>
    <w:p w14:paraId="3BA1C0C0"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proofErr w:type="spellStart"/>
      <w:r>
        <w:rPr>
          <w:rFonts w:ascii="Times New Roman" w:eastAsia="Times New Roman" w:hAnsi="Times New Roman" w:cs="Times New Roman"/>
          <w:sz w:val="24"/>
          <w:szCs w:val="24"/>
        </w:rPr>
        <w:t>Summatīvajā</w:t>
      </w:r>
      <w:proofErr w:type="spellEnd"/>
      <w:r>
        <w:rPr>
          <w:rFonts w:ascii="Times New Roman" w:eastAsia="Times New Roman" w:hAnsi="Times New Roman" w:cs="Times New Roman"/>
          <w:sz w:val="24"/>
          <w:szCs w:val="24"/>
        </w:rPr>
        <w:t xml:space="preserve"> vērtēšanā 4. – 9. klasēs vērtējumu izsaka ballēs (10 – "izcili", 9 – "teicami", 8 – "ļoti labi", 7 – "labi", 6 – "gandrīz labi", 5 – "viduvēji", 4 – "gandrīz viduvēji", 3 – "vāji", 2 – "ļoti vāji", 1 – "ļoti, ļoti vāji"), izmantojot vienotas vērtēšanas kritēriju grupas (skat. 4.4.1.punktu).</w:t>
      </w:r>
    </w:p>
    <w:p w14:paraId="476C4F8E"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Pedagogs jebkurā temata nobeiguma vērtēšanas darbā nodrošina izglītojamajam iespēju demonstrēt sniegumu visos apguves līmeņos 1.–3. klasēs un atbilstoši jebkuram vērtējumam 10 </w:t>
      </w:r>
      <w:proofErr w:type="spellStart"/>
      <w:r>
        <w:rPr>
          <w:rFonts w:ascii="Times New Roman" w:eastAsia="Times New Roman" w:hAnsi="Times New Roman" w:cs="Times New Roman"/>
          <w:sz w:val="24"/>
          <w:szCs w:val="24"/>
        </w:rPr>
        <w:t>ballu</w:t>
      </w:r>
      <w:proofErr w:type="spellEnd"/>
      <w:r>
        <w:rPr>
          <w:rFonts w:ascii="Times New Roman" w:eastAsia="Times New Roman" w:hAnsi="Times New Roman" w:cs="Times New Roman"/>
          <w:sz w:val="24"/>
          <w:szCs w:val="24"/>
        </w:rPr>
        <w:t xml:space="preserve"> skalā 4. – 9. klasēs.</w:t>
      </w:r>
    </w:p>
    <w:p w14:paraId="2134D135"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5.7. </w:t>
      </w:r>
      <w:r>
        <w:rPr>
          <w:rFonts w:ascii="Times New Roman" w:eastAsia="Times New Roman" w:hAnsi="Times New Roman" w:cs="Times New Roman"/>
          <w:sz w:val="24"/>
          <w:szCs w:val="24"/>
          <w:highlight w:val="white"/>
        </w:rPr>
        <w:t xml:space="preserve">Līdz 15. maijam mācību priekšmeta </w:t>
      </w:r>
      <w:proofErr w:type="spellStart"/>
      <w:r>
        <w:rPr>
          <w:rFonts w:ascii="Times New Roman" w:eastAsia="Times New Roman" w:hAnsi="Times New Roman" w:cs="Times New Roman"/>
          <w:sz w:val="24"/>
          <w:szCs w:val="24"/>
          <w:highlight w:val="white"/>
        </w:rPr>
        <w:t>pedogogs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skolvadības</w:t>
      </w:r>
      <w:proofErr w:type="spellEnd"/>
      <w:r>
        <w:rPr>
          <w:rFonts w:ascii="Times New Roman" w:eastAsia="Times New Roman" w:hAnsi="Times New Roman" w:cs="Times New Roman"/>
          <w:sz w:val="24"/>
          <w:szCs w:val="24"/>
          <w:highlight w:val="white"/>
        </w:rPr>
        <w:t xml:space="preserve"> sistēmā E-klasē izliek gada vērtējumu “</w:t>
      </w:r>
      <w:proofErr w:type="spellStart"/>
      <w:r>
        <w:rPr>
          <w:rFonts w:ascii="Times New Roman" w:eastAsia="Times New Roman" w:hAnsi="Times New Roman" w:cs="Times New Roman"/>
          <w:sz w:val="24"/>
          <w:szCs w:val="24"/>
          <w:highlight w:val="white"/>
        </w:rPr>
        <w:t>Starpvērtējums</w:t>
      </w:r>
      <w:proofErr w:type="spellEnd"/>
      <w:r>
        <w:rPr>
          <w:rFonts w:ascii="Times New Roman" w:eastAsia="Times New Roman" w:hAnsi="Times New Roman" w:cs="Times New Roman"/>
          <w:sz w:val="24"/>
          <w:szCs w:val="24"/>
          <w:highlight w:val="white"/>
        </w:rPr>
        <w:t>”.</w:t>
      </w:r>
    </w:p>
    <w:p w14:paraId="024A90D6"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5.7.  Gala vērtējumus izliek mācību priekšmetā mācību gada noslēgumā.</w:t>
      </w:r>
    </w:p>
    <w:p w14:paraId="01A30629"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Izsakot mācību gada noslēguma </w:t>
      </w:r>
      <w:proofErr w:type="spellStart"/>
      <w:r>
        <w:rPr>
          <w:rFonts w:ascii="Times New Roman" w:eastAsia="Times New Roman" w:hAnsi="Times New Roman" w:cs="Times New Roman"/>
          <w:sz w:val="24"/>
          <w:szCs w:val="24"/>
        </w:rPr>
        <w:t>summatīvo</w:t>
      </w:r>
      <w:proofErr w:type="spellEnd"/>
      <w:r>
        <w:rPr>
          <w:rFonts w:ascii="Times New Roman" w:eastAsia="Times New Roman" w:hAnsi="Times New Roman" w:cs="Times New Roman"/>
          <w:sz w:val="24"/>
          <w:szCs w:val="24"/>
        </w:rPr>
        <w:t xml:space="preserve"> vērtējumu, pedagogs ņem vērā visus izglītojamo iegūtos </w:t>
      </w:r>
      <w:proofErr w:type="spellStart"/>
      <w:r>
        <w:rPr>
          <w:rFonts w:ascii="Times New Roman" w:eastAsia="Times New Roman" w:hAnsi="Times New Roman" w:cs="Times New Roman"/>
          <w:sz w:val="24"/>
          <w:szCs w:val="24"/>
        </w:rPr>
        <w:t>summatīvos</w:t>
      </w:r>
      <w:proofErr w:type="spellEnd"/>
      <w:r>
        <w:rPr>
          <w:rFonts w:ascii="Times New Roman" w:eastAsia="Times New Roman" w:hAnsi="Times New Roman" w:cs="Times New Roman"/>
          <w:sz w:val="24"/>
          <w:szCs w:val="24"/>
        </w:rPr>
        <w:t xml:space="preserve"> vērtējumus mācību gada ietvaros:</w:t>
      </w:r>
    </w:p>
    <w:p w14:paraId="66301103"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5.8.1. ja vidējais vērtējums aiz komata ir 0,51, tad vērtējumu noapaļo ar uzviju;</w:t>
      </w:r>
    </w:p>
    <w:p w14:paraId="5D0980D1"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5.8.2. ja vidējais vērtējums aiz komata ir 0,5, tad vērtējumu noapaļo uz leju;</w:t>
      </w:r>
    </w:p>
    <w:p w14:paraId="509FABC4" w14:textId="77777777" w:rsidR="00D06186" w:rsidRDefault="00EC60DB">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proofErr w:type="spellStart"/>
      <w:r>
        <w:rPr>
          <w:rFonts w:ascii="Times New Roman" w:eastAsia="Times New Roman" w:hAnsi="Times New Roman" w:cs="Times New Roman"/>
          <w:sz w:val="24"/>
          <w:szCs w:val="24"/>
        </w:rPr>
        <w:t>Summatīvie</w:t>
      </w:r>
      <w:proofErr w:type="spellEnd"/>
      <w:r>
        <w:rPr>
          <w:rFonts w:ascii="Times New Roman" w:eastAsia="Times New Roman" w:hAnsi="Times New Roman" w:cs="Times New Roman"/>
          <w:sz w:val="24"/>
          <w:szCs w:val="24"/>
        </w:rPr>
        <w:t xml:space="preserve"> vērtēšanas darbi netiek pārrakstīti. </w:t>
      </w:r>
    </w:p>
    <w:p w14:paraId="188D4FE1" w14:textId="77777777" w:rsidR="00D06186" w:rsidRDefault="00EC60DB">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5.9.1. Ja mācību gada noslēgumā ir nepietiekams gada vērtējums, izglītojamais kombinēto darbu raksta obligāti. </w:t>
      </w:r>
    </w:p>
    <w:p w14:paraId="003E1DC5" w14:textId="77777777" w:rsidR="00D06186" w:rsidRDefault="00EC60DB">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5.9.2. Mācību gada noslēgumā izglītojamajam, ja viņš to vēlas, ir vēlreiz iespēja demonstrēt savu sniegumu kombinētā nobeiguma darbā par visu mācību gada vielu.</w:t>
      </w:r>
    </w:p>
    <w:p w14:paraId="6A08B66D"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5.9.3. Izglītojamais kombinētajam pārbaudes darbam piesakās rakstot iesniegumu direktores vietniecei izglītības jomā  līdz 20. maijam. Iesniegumu raksta brīvā formā, izglītojamā vecāks vai likumiskais pārstāvis.</w:t>
      </w:r>
    </w:p>
    <w:p w14:paraId="6B4B65B6"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5.9.4. No 25. maija organizē kombinētā pārbaudes darba rakstīšanu un labošanu.</w:t>
      </w:r>
    </w:p>
    <w:p w14:paraId="4689F7D8"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 Pedagogs izstrādā </w:t>
      </w:r>
      <w:proofErr w:type="spellStart"/>
      <w:r>
        <w:rPr>
          <w:rFonts w:ascii="Times New Roman" w:eastAsia="Times New Roman" w:hAnsi="Times New Roman" w:cs="Times New Roman"/>
          <w:sz w:val="24"/>
          <w:szCs w:val="24"/>
        </w:rPr>
        <w:t>summatīvo</w:t>
      </w:r>
      <w:proofErr w:type="spellEnd"/>
      <w:r>
        <w:rPr>
          <w:rFonts w:ascii="Times New Roman" w:eastAsia="Times New Roman" w:hAnsi="Times New Roman" w:cs="Times New Roman"/>
          <w:sz w:val="24"/>
          <w:szCs w:val="24"/>
        </w:rPr>
        <w:t xml:space="preserve"> pārbaudes darbu plānojumu atbilstoši mācību priekšmeta satura specifikai, </w:t>
      </w:r>
      <w:r>
        <w:rPr>
          <w:rFonts w:ascii="Times New Roman" w:eastAsia="Times New Roman" w:hAnsi="Times New Roman" w:cs="Times New Roman"/>
          <w:b/>
          <w:sz w:val="24"/>
          <w:szCs w:val="24"/>
        </w:rPr>
        <w:t xml:space="preserve">lielāku svaru </w:t>
      </w:r>
      <w:r>
        <w:rPr>
          <w:rFonts w:ascii="Times New Roman" w:eastAsia="Times New Roman" w:hAnsi="Times New Roman" w:cs="Times New Roman"/>
          <w:sz w:val="24"/>
          <w:szCs w:val="24"/>
        </w:rPr>
        <w:t xml:space="preserve">piešķirot tiem </w:t>
      </w:r>
      <w:proofErr w:type="spellStart"/>
      <w:r>
        <w:rPr>
          <w:rFonts w:ascii="Times New Roman" w:eastAsia="Times New Roman" w:hAnsi="Times New Roman" w:cs="Times New Roman"/>
          <w:sz w:val="24"/>
          <w:szCs w:val="24"/>
        </w:rPr>
        <w:t>summatīvās</w:t>
      </w:r>
      <w:proofErr w:type="spellEnd"/>
      <w:r>
        <w:rPr>
          <w:rFonts w:ascii="Times New Roman" w:eastAsia="Times New Roman" w:hAnsi="Times New Roman" w:cs="Times New Roman"/>
          <w:sz w:val="24"/>
          <w:szCs w:val="24"/>
        </w:rPr>
        <w:t xml:space="preserve"> vērtēšanas darbiem, kuri aptver plašāku sasniedzamo rezultātu kopumu.</w:t>
      </w:r>
    </w:p>
    <w:p w14:paraId="35F5F5B5" w14:textId="77777777" w:rsidR="00D06186" w:rsidRDefault="00EC60DB">
      <w:pPr>
        <w:spacing w:after="120"/>
        <w:ind w:hanging="2"/>
        <w:jc w:val="both"/>
        <w:rPr>
          <w:rFonts w:ascii="Aptos" w:eastAsia="Aptos" w:hAnsi="Aptos" w:cs="Aptos"/>
          <w:color w:val="FF00FF"/>
          <w:sz w:val="24"/>
          <w:szCs w:val="24"/>
        </w:rPr>
      </w:pPr>
      <w:r>
        <w:rPr>
          <w:rFonts w:ascii="Times New Roman" w:eastAsia="Times New Roman" w:hAnsi="Times New Roman" w:cs="Times New Roman"/>
          <w:sz w:val="24"/>
          <w:szCs w:val="24"/>
        </w:rPr>
        <w:t xml:space="preserve">5.11. Visi augstākminētie punkti attiecas arī uz izglītojamajiem, kuri apgūst atšķirīgas izglītības programmas (speciālā izglītība) vai sasniedzamos rezultātus (individuālais izglītības programmas apguves plāns). Viņu sniegumu vērtē pret viņiem noteiktajiem apgūstamajiem sasniedzamajiem rezultātiem, kur nepieciešams, piemērojot attiecīgus atbalsta pasākumus. </w:t>
      </w:r>
    </w:p>
    <w:p w14:paraId="37DFEB3C" w14:textId="77777777" w:rsidR="00D06186" w:rsidRDefault="00EC60DB">
      <w:pPr>
        <w:spacing w:after="120"/>
        <w:ind w:hanging="2"/>
        <w:jc w:val="both"/>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rPr>
        <w:t xml:space="preserve">5.12. Katra  semestra sākumā visos mācību priekšmetos pedagogi plāno temata noslēguma darbus. Pēdējais temata noslēguma darbs mācību gada beigās tiek plānots ne vēlāk, kā 10 darba dienas pirms mācību gada beigām. </w:t>
      </w:r>
    </w:p>
    <w:p w14:paraId="24502568"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5.13. Mācību priekšmeta pedagogi semestra sākumā informē izglītojamos par konkrētiem temata noslēguma  darbiem, kuri izglītojamajam </w:t>
      </w:r>
      <w:r>
        <w:rPr>
          <w:rFonts w:ascii="Times New Roman" w:eastAsia="Times New Roman" w:hAnsi="Times New Roman" w:cs="Times New Roman"/>
          <w:b/>
          <w:sz w:val="24"/>
          <w:szCs w:val="24"/>
          <w:highlight w:val="white"/>
        </w:rPr>
        <w:t xml:space="preserve">obligāti jānokārto, </w:t>
      </w:r>
      <w:r>
        <w:rPr>
          <w:rFonts w:ascii="Times New Roman" w:eastAsia="Times New Roman" w:hAnsi="Times New Roman" w:cs="Times New Roman"/>
          <w:sz w:val="24"/>
          <w:szCs w:val="24"/>
          <w:highlight w:val="white"/>
        </w:rPr>
        <w:t>lai varētu iegūt gada vērtējumu mācību priekšmetā.</w:t>
      </w:r>
    </w:p>
    <w:p w14:paraId="31B7BAA2"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5.14.</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Pedagogs var atbrīvot izglītojamo no temata nobeiguma darba vai darba daļas izpildes, ja izglītojamais ir piedalījies ārpusskolas pasākumos (olimpiādēs, konkursos, sacensībās), kas saistīti ar konkrēto mācību priekšmetu un atspoguļo pierādījumus par mācību priekšmetā paredzēto sasniedzamo rezultātu apguvi. Pedagogs izglītojamajam E - klasē veic ierakstu “</w:t>
      </w:r>
      <w:proofErr w:type="spellStart"/>
      <w:r>
        <w:rPr>
          <w:rFonts w:ascii="Times New Roman" w:eastAsia="Times New Roman" w:hAnsi="Times New Roman" w:cs="Times New Roman"/>
          <w:sz w:val="24"/>
          <w:szCs w:val="24"/>
          <w:highlight w:val="white"/>
        </w:rPr>
        <w:t>atb</w:t>
      </w:r>
      <w:proofErr w:type="spellEnd"/>
      <w:r>
        <w:rPr>
          <w:rFonts w:ascii="Times New Roman" w:eastAsia="Times New Roman" w:hAnsi="Times New Roman" w:cs="Times New Roman"/>
          <w:sz w:val="24"/>
          <w:szCs w:val="24"/>
          <w:highlight w:val="white"/>
        </w:rPr>
        <w:t>” temata nobeiguma darbā.</w:t>
      </w:r>
    </w:p>
    <w:p w14:paraId="707FA700"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5.15. Līdz katra mēneša 25. datumam mācību priekšmetu skolotāji E - klases sadaļā “Pārbaudes darbu plānotājs” veic korekcijas, ja tādas ir nepieciešamas.</w:t>
      </w:r>
    </w:p>
    <w:p w14:paraId="6C369625"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 Vienā dienā pieļaujamais skaits temata/tēmas daļas pārbaudes darbiem:</w:t>
      </w:r>
    </w:p>
    <w:p w14:paraId="052B000F" w14:textId="77777777" w:rsidR="00D06186" w:rsidRDefault="00EC60DB">
      <w:pPr>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5.17.1.</w:t>
      </w:r>
      <w:r>
        <w:rPr>
          <w:rFonts w:ascii="Times New Roman" w:eastAsia="Times New Roman" w:hAnsi="Times New Roman" w:cs="Times New Roman"/>
          <w:b/>
          <w:sz w:val="24"/>
          <w:szCs w:val="24"/>
        </w:rPr>
        <w:t xml:space="preserve"> 1. -  4. klasēs – viens pārbaudes darbs;</w:t>
      </w:r>
    </w:p>
    <w:p w14:paraId="5DADE13E" w14:textId="77777777" w:rsidR="00D06186" w:rsidRDefault="00EC60DB">
      <w:pPr>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5.17.2.</w:t>
      </w:r>
      <w:r>
        <w:rPr>
          <w:rFonts w:ascii="Times New Roman" w:eastAsia="Times New Roman" w:hAnsi="Times New Roman" w:cs="Times New Roman"/>
          <w:b/>
          <w:sz w:val="24"/>
          <w:szCs w:val="24"/>
        </w:rPr>
        <w:t xml:space="preserve"> 5. - 9. klasēs - divi pārbaudes darbi;</w:t>
      </w:r>
    </w:p>
    <w:p w14:paraId="72A6DE4A" w14:textId="77777777" w:rsidR="00D06186" w:rsidRDefault="00EC60DB">
      <w:pPr>
        <w:ind w:hanging="2"/>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5.18. Sportā un veselībā, vizuālajā mākslā, dizainā un tehnoloģijās skolotāji tēmas/tēmas daļas nobeiguma darbus atzīmē “Pārbaudes darbu plānotājā” tikai tad, ja noslēguma darbs ir plānots norādītajā dienā un prasa teorētiskās zināšanas;</w:t>
      </w:r>
    </w:p>
    <w:p w14:paraId="06AAA3C3"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Objektīvu iemeslu dēļ var tikt veiktas izmaiņas temata noslēguma darbu grafikā.</w:t>
      </w:r>
    </w:p>
    <w:p w14:paraId="5B593273"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Pirms tēmas noslēguma darba veikšanas pedagogs iepazīstina izglītojamos ar darba veikšanai paredzēto laiku un pārbaudes darba vērtēšanas kritērijiem, kuri ir skaidri, saprotami formulēti.</w:t>
      </w:r>
    </w:p>
    <w:p w14:paraId="07F151FA" w14:textId="77777777" w:rsidR="00D06186" w:rsidRDefault="00EC60DB">
      <w:pPr>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5.21. Pedagogs izliek vērtējumus E - klases žurnālā ne vēlāk kā 5 (piecu) darba dienu laikā pēc rakstiskā tēmas noslēguma darba veikšanas.</w:t>
      </w:r>
    </w:p>
    <w:p w14:paraId="4FE2A263"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Pedagogs iepazīstina izglītojamos ar izvērtētu tēmas darba rezultātiem, veic to analīzi un, ja nepieciešams, vada kļūdu labošanas procesu stundā.</w:t>
      </w:r>
    </w:p>
    <w:p w14:paraId="447C7D24"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 Novērtētos temata noslēguma darbus pedagogs uzglabā līdz mācību gada beigām (31. maijam) un tad patstāvīgi izlemj, vai tie ir iznīcināmi, vai atdodami izglītojamajiem.</w:t>
      </w:r>
    </w:p>
    <w:p w14:paraId="76D9AB5C"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5.24. Novērtētos temata noslēguma darbus pēc pieprasījuma pedagogs izsniedz un ļauj iepazīties izglītojamo vecākiem skolā, individuālās sarunas laikā ar pedagogu, lai noskaidrotu izglītojamā mācību sasniegumu līmeni un iespējamo palīdzību rezultātu uzlabošanai.</w:t>
      </w:r>
    </w:p>
    <w:p w14:paraId="178FEE19"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5.25. Ja izglītojamais ilgstoši slimojis (mēnesi vai vairāk, vai attaisnojoši atradies ilgstošā prombūtnē) vai kavējis, pedagogs ir tiesīgs viņu atbrīvot no temata nobeiguma darba rakstīšanas, vai arī noteikt papildu termiņu darba veikšanai.</w:t>
      </w:r>
    </w:p>
    <w:p w14:paraId="07ADEA5C"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 Lai izglītojamais saņemtu gala vērtējumu gadā, ir jābūt visiem obligātajiem vērtējumiem, kurus „Pārbaudes darbu plānotājā” norādījis mācību priekšmeta skolotājs. Izņemot 5.19. punktā aprakstītos gadījumus.</w:t>
      </w:r>
    </w:p>
    <w:p w14:paraId="36048485" w14:textId="77777777" w:rsidR="00D06186" w:rsidRDefault="00EC60DB">
      <w:pPr>
        <w:shd w:val="clear" w:color="auto" w:fill="FFFFFF"/>
        <w:spacing w:before="120"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Mācību snieguma vērtējumu pārskatīšana</w:t>
      </w:r>
    </w:p>
    <w:p w14:paraId="665CA586" w14:textId="77777777" w:rsidR="00D06186" w:rsidRDefault="00EC60DB">
      <w:pPr>
        <w:shd w:val="clear" w:color="auto" w:fill="FFFFFF"/>
        <w:spacing w:before="120" w:after="120"/>
        <w:ind w:hanging="2"/>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6.1.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Ja radušās nesaskaņas par izglītojamā vērtējumu mācību priekšmetā temata noslēgumā, pēc vecāku vai pilngadīga izglītojamā rakstiska pieprasījuma skolas direktors pieņem lēmumu par vērtējuma apstiprināšanu vai pārskatīšanu.</w:t>
      </w:r>
    </w:p>
    <w:p w14:paraId="0B470343"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6.3. </w:t>
      </w:r>
      <w:r>
        <w:rPr>
          <w:rFonts w:ascii="Times New Roman" w:eastAsia="Times New Roman" w:hAnsi="Times New Roman" w:cs="Times New Roman"/>
          <w:sz w:val="24"/>
          <w:szCs w:val="24"/>
          <w:highlight w:val="white"/>
        </w:rPr>
        <w:t xml:space="preserve">Ja mācību gada noslēgumā izglītojamais izsaka vēlēšanos uzlabot vērtējumu, pedagogs piedāvā kombinētu pārbaudes darbu, kas ietver būtiskāko mācību gada sasniedzamo rezultātu pārbaudi mācību priekšmetā. </w:t>
      </w:r>
    </w:p>
    <w:p w14:paraId="3E54E54D"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6.4. Kombinētajā darbā iegūtais vērtējums veido 80 % no gala vērtējuma, savukārt iepriekšējais gada vērtējums veido atlikušos 20 %.</w:t>
      </w:r>
    </w:p>
    <w:p w14:paraId="59ED8B25"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sz w:val="24"/>
          <w:szCs w:val="24"/>
          <w:highlight w:val="white"/>
        </w:rPr>
      </w:pPr>
      <w:bookmarkStart w:id="1" w:name="_heading=h.gjdgxs" w:colFirst="0" w:colLast="0"/>
      <w:bookmarkEnd w:id="1"/>
      <w:r>
        <w:rPr>
          <w:rFonts w:ascii="Times New Roman" w:eastAsia="Times New Roman" w:hAnsi="Times New Roman" w:cs="Times New Roman"/>
          <w:sz w:val="24"/>
          <w:szCs w:val="24"/>
          <w:highlight w:val="white"/>
        </w:rPr>
        <w:t xml:space="preserve">6.4.1. Ja izglītojamais ir rakstījis kombinēto pārbaudes darbu, tad gada vērtējumu aprēķina pēc formulas:  </w:t>
      </w:r>
    </w:p>
    <w:p w14:paraId="08FFF1EC"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GADA ATZĪME = (</w:t>
      </w:r>
      <w:proofErr w:type="spellStart"/>
      <w:r>
        <w:rPr>
          <w:rFonts w:ascii="Times New Roman" w:eastAsia="Times New Roman" w:hAnsi="Times New Roman" w:cs="Times New Roman"/>
          <w:b/>
          <w:sz w:val="24"/>
          <w:szCs w:val="24"/>
          <w:highlight w:val="white"/>
        </w:rPr>
        <w:t>kopleksā</w:t>
      </w:r>
      <w:proofErr w:type="spellEnd"/>
      <w:r>
        <w:rPr>
          <w:rFonts w:ascii="Times New Roman" w:eastAsia="Times New Roman" w:hAnsi="Times New Roman" w:cs="Times New Roman"/>
          <w:b/>
          <w:sz w:val="24"/>
          <w:szCs w:val="24"/>
          <w:highlight w:val="white"/>
        </w:rPr>
        <w:t xml:space="preserve"> pārbaudes darba atzīme x 0,8) + (pārējo vērtējumu vidējā atzīme/gada vērtējums x 0,2)</w:t>
      </w:r>
    </w:p>
    <w:p w14:paraId="5DF0984A"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Piemēri:</w:t>
      </w:r>
    </w:p>
    <w:p w14:paraId="720F3981" w14:textId="77777777" w:rsidR="00D06186" w:rsidRDefault="00EC60DB">
      <w:pPr>
        <w:numPr>
          <w:ilvl w:val="0"/>
          <w:numId w:val="2"/>
        </w:numPr>
        <w:pBdr>
          <w:top w:val="nil"/>
          <w:left w:val="nil"/>
          <w:bottom w:val="nil"/>
          <w:right w:val="nil"/>
          <w:between w:val="nil"/>
        </w:pBdr>
        <w:spacing w:after="120" w:line="240" w:lineRule="auto"/>
        <w:ind w:left="-1"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 x 0,8) + (7 x 0,2) = 8,6 </w:t>
      </w:r>
    </w:p>
    <w:p w14:paraId="4D1DF5E9"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vai</w:t>
      </w:r>
    </w:p>
    <w:p w14:paraId="116FC2CA" w14:textId="77777777" w:rsidR="00D06186" w:rsidRDefault="00EC60DB">
      <w:pPr>
        <w:numPr>
          <w:ilvl w:val="0"/>
          <w:numId w:val="2"/>
        </w:numPr>
        <w:pBdr>
          <w:top w:val="nil"/>
          <w:left w:val="nil"/>
          <w:bottom w:val="nil"/>
          <w:right w:val="nil"/>
          <w:between w:val="nil"/>
        </w:pBdr>
        <w:spacing w:after="120" w:line="240" w:lineRule="auto"/>
        <w:ind w:left="-1"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(9+9+9+9+9+9+9+9+7+7) : 10 = 8,6</w:t>
      </w:r>
    </w:p>
    <w:p w14:paraId="07907C61" w14:textId="77777777"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6.5. Gadījumos, kad izglītojamais kombinētajā nobeiguma vērtēšanas darbā ir ieguvis zemāku vērtējumu, tiek atstāts iepriekš saņemtais mācību gada vērtējums.</w:t>
      </w:r>
    </w:p>
    <w:p w14:paraId="4D00432B"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18"/>
          <w:szCs w:val="18"/>
        </w:rPr>
      </w:pPr>
    </w:p>
    <w:p w14:paraId="1E1DAFBA" w14:textId="77777777" w:rsidR="00D06186" w:rsidRDefault="00EC60DB">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jautājums</w:t>
      </w:r>
    </w:p>
    <w:p w14:paraId="73EB23A5" w14:textId="77777777" w:rsidR="00D06186" w:rsidRDefault="00D0618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rPr>
      </w:pPr>
    </w:p>
    <w:p w14:paraId="1EC3702C" w14:textId="77777777" w:rsidR="00D06186" w:rsidRDefault="00EC60DB">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Atzīt par spēku zaudējušu 2024. gada 3. septembrī apstiprināto Mācību sasniegumu vērtēšanas kārtību.</w:t>
      </w:r>
    </w:p>
    <w:p w14:paraId="4AB30BF2" w14:textId="77777777" w:rsidR="00D06186" w:rsidRDefault="00EC60DB">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“Izglītojamo mācību sasniegumu vērtēšanas kārtība” veikti grozījumi Pedagoģiskās padomes sēdē 2025. gada 27. februārī.</w:t>
      </w:r>
    </w:p>
    <w:p w14:paraId="51DE1316"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4F8F1A78"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3FF74184"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0B992937"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0DCEE8AB"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55C098C0" w14:textId="77777777" w:rsidR="00D06186" w:rsidRDefault="00EC60DB">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Dace Mārtiņa</w:t>
      </w:r>
    </w:p>
    <w:sectPr w:rsidR="00D06186">
      <w:pgSz w:w="11906" w:h="16838"/>
      <w:pgMar w:top="567" w:right="1134"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 Neue">
    <w:altName w:val="Arial"/>
    <w:charset w:val="00"/>
    <w:family w:val="auto"/>
    <w:pitch w:val="default"/>
  </w:font>
  <w:font w:name="RimHelvetica">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pto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00AA"/>
    <w:multiLevelType w:val="multilevel"/>
    <w:tmpl w:val="3836C1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92E0532"/>
    <w:multiLevelType w:val="multilevel"/>
    <w:tmpl w:val="1F126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86"/>
    <w:rsid w:val="002A1F71"/>
    <w:rsid w:val="00AA6165"/>
    <w:rsid w:val="00D06186"/>
    <w:rsid w:val="00EC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ED96"/>
  <w15:docId w15:val="{28360908-A765-4018-B434-96B9CDE6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8"/>
        <w:szCs w:val="28"/>
        <w:lang w:val="lv-LV"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rFonts w:ascii="RimHelvetica" w:hAnsi="RimHelvetica"/>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hd w:val="clear" w:color="auto" w:fill="FFFFFF"/>
      <w:ind w:left="58"/>
      <w:jc w:val="center"/>
      <w:outlineLvl w:val="1"/>
    </w:pPr>
    <w:rPr>
      <w:rFonts w:ascii="Times New Roman" w:hAnsi="Times New Roman"/>
      <w:b/>
      <w:bCs/>
      <w:color w:val="000000"/>
      <w:spacing w:val="-2"/>
      <w:sz w:val="22"/>
      <w:szCs w:val="22"/>
    </w:rPr>
  </w:style>
  <w:style w:type="paragraph" w:styleId="Heading3">
    <w:name w:val="heading 3"/>
    <w:basedOn w:val="Normal"/>
    <w:next w:val="Normal"/>
    <w:uiPriority w:val="9"/>
    <w:semiHidden/>
    <w:unhideWhenUsed/>
    <w:qFormat/>
    <w:pPr>
      <w:keepNext/>
      <w:shd w:val="clear" w:color="auto" w:fill="FFFFFF"/>
      <w:ind w:left="211"/>
      <w:jc w:val="center"/>
      <w:outlineLvl w:val="2"/>
    </w:pPr>
    <w:rPr>
      <w:rFonts w:ascii="Times New Roman" w:hAnsi="Times New Roman"/>
      <w:b/>
      <w:bCs/>
      <w:color w:val="000000"/>
      <w:spacing w:val="-2"/>
      <w:sz w:val="22"/>
      <w:szCs w:val="22"/>
    </w:rPr>
  </w:style>
  <w:style w:type="paragraph" w:styleId="Heading4">
    <w:name w:val="heading 4"/>
    <w:basedOn w:val="Normal"/>
    <w:next w:val="Normal"/>
    <w:uiPriority w:val="9"/>
    <w:semiHidden/>
    <w:unhideWhenUsed/>
    <w:qFormat/>
    <w:pPr>
      <w:keepNext/>
      <w:shd w:val="clear" w:color="auto" w:fill="FFFFFF"/>
      <w:spacing w:before="826"/>
      <w:jc w:val="both"/>
      <w:outlineLvl w:val="3"/>
    </w:pPr>
    <w:rPr>
      <w:rFonts w:ascii="Times New Roman" w:hAnsi="Times New Roman"/>
      <w:b/>
      <w:bCs/>
      <w:color w:val="000000"/>
      <w:spacing w:val="4"/>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napToGrid w:val="0"/>
      <w:sz w:val="24"/>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Caption">
    <w:name w:val="caption"/>
    <w:basedOn w:val="Normal"/>
    <w:next w:val="Normal"/>
    <w:pPr>
      <w:pBdr>
        <w:bottom w:val="single" w:sz="12" w:space="1" w:color="auto"/>
      </w:pBdr>
      <w:ind w:left="851"/>
      <w:jc w:val="center"/>
    </w:pPr>
    <w:rPr>
      <w:noProof/>
      <w:sz w:val="36"/>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Spacing">
    <w:name w:val="No Spacing"/>
    <w:pPr>
      <w:suppressAutoHyphens/>
      <w:spacing w:line="1" w:lineRule="atLeast"/>
      <w:ind w:leftChars="-1" w:left="-1" w:hangingChars="1"/>
      <w:textDirection w:val="btLr"/>
      <w:textAlignment w:val="top"/>
      <w:outlineLvl w:val="0"/>
    </w:pPr>
    <w:rPr>
      <w:position w:val="-1"/>
      <w:sz w:val="22"/>
      <w:szCs w:val="22"/>
      <w:lang w:val="en-US" w:bidi="en-US"/>
    </w:rPr>
  </w:style>
  <w:style w:type="character" w:customStyle="1" w:styleId="NosaukumsRakstz">
    <w:name w:val="Nosaukums Rakstz."/>
    <w:rPr>
      <w:rFonts w:ascii="Arial" w:hAnsi="Arial"/>
      <w:b/>
      <w:snapToGrid w:val="0"/>
      <w:w w:val="100"/>
      <w:position w:val="-1"/>
      <w:sz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customStyle="1" w:styleId="Virsraksts2Rakstz">
    <w:name w:val="Virsraksts 2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3Rakstz">
    <w:name w:val="Virsraksts 3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4Rakstz">
    <w:name w:val="Virsraksts 4 Rakstz."/>
    <w:rPr>
      <w:b/>
      <w:bCs/>
      <w:color w:val="000000"/>
      <w:spacing w:val="4"/>
      <w:w w:val="100"/>
      <w:position w:val="-1"/>
      <w:sz w:val="22"/>
      <w:szCs w:val="22"/>
      <w:effect w:val="none"/>
      <w:shd w:val="clear" w:color="auto" w:fill="FFFFFF"/>
      <w:vertAlign w:val="baseline"/>
      <w:cs w:val="0"/>
      <w:em w:val="none"/>
      <w:lang w:eastAsia="en-US"/>
    </w:rPr>
  </w:style>
  <w:style w:type="paragraph" w:styleId="BodyText">
    <w:name w:val="Body Text"/>
    <w:basedOn w:val="Normal"/>
    <w:pPr>
      <w:overflowPunct w:val="0"/>
      <w:autoSpaceDE w:val="0"/>
      <w:autoSpaceDN w:val="0"/>
      <w:adjustRightInd w:val="0"/>
      <w:jc w:val="both"/>
      <w:textAlignment w:val="baseline"/>
    </w:pPr>
    <w:rPr>
      <w:rFonts w:ascii="Times New Roman" w:hAnsi="Times New Roman"/>
      <w:sz w:val="24"/>
    </w:rPr>
  </w:style>
  <w:style w:type="character" w:customStyle="1" w:styleId="PamattekstsRakstz">
    <w:name w:val="Pamatteksts Rakstz."/>
    <w:rPr>
      <w:w w:val="100"/>
      <w:position w:val="-1"/>
      <w:sz w:val="24"/>
      <w:effect w:val="none"/>
      <w:vertAlign w:val="baseline"/>
      <w:cs w:val="0"/>
      <w:em w:val="none"/>
      <w:lang w:eastAsia="en-US"/>
    </w:rPr>
  </w:style>
  <w:style w:type="paragraph" w:styleId="Header">
    <w:name w:val="header"/>
    <w:basedOn w:val="Normal"/>
    <w:pPr>
      <w:tabs>
        <w:tab w:val="center" w:pos="4153"/>
        <w:tab w:val="right" w:pos="8306"/>
      </w:tabs>
    </w:pPr>
  </w:style>
  <w:style w:type="character" w:customStyle="1" w:styleId="GalveneRakstz">
    <w:name w:val="Galvene Rakstz."/>
    <w:rPr>
      <w:rFonts w:ascii="RimHelvetica" w:hAnsi="RimHelvetica"/>
      <w:w w:val="100"/>
      <w:position w:val="-1"/>
      <w:sz w:val="28"/>
      <w:effect w:val="none"/>
      <w:vertAlign w:val="baseline"/>
      <w:cs w:val="0"/>
      <w:em w:val="none"/>
      <w:lang w:eastAsia="en-US"/>
    </w:rPr>
  </w:style>
  <w:style w:type="paragraph" w:styleId="Footer">
    <w:name w:val="footer"/>
    <w:basedOn w:val="Normal"/>
    <w:pPr>
      <w:tabs>
        <w:tab w:val="center" w:pos="4153"/>
        <w:tab w:val="right" w:pos="8306"/>
      </w:tabs>
    </w:pPr>
  </w:style>
  <w:style w:type="character" w:customStyle="1" w:styleId="KjeneRakstz">
    <w:name w:val="Kājene Rakstz."/>
    <w:rPr>
      <w:rFonts w:ascii="RimHelvetica" w:hAnsi="RimHelvetica"/>
      <w:w w:val="100"/>
      <w:position w:val="-1"/>
      <w:sz w:val="28"/>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character" w:customStyle="1" w:styleId="Virsraksts1Rakstz">
    <w:name w:val="Virsraksts 1 Rakstz."/>
    <w:rPr>
      <w:rFonts w:ascii="Cambria" w:eastAsia="Times New Roman" w:hAnsi="Cambria" w:cs="Times New Roman"/>
      <w:b/>
      <w:bCs/>
      <w:w w:val="100"/>
      <w:kern w:val="32"/>
      <w:position w:val="-1"/>
      <w:sz w:val="32"/>
      <w:szCs w:val="32"/>
      <w:effect w:val="none"/>
      <w:vertAlign w:val="baseline"/>
      <w:cs w:val="0"/>
      <w:em w:val="none"/>
      <w:lang w:eastAsia="en-US"/>
    </w:rPr>
  </w:style>
  <w:style w:type="table" w:customStyle="1" w:styleId="TableGrid1">
    <w:name w:val="Table Grid1"/>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rPr>
      <w:rFonts w:ascii="Times New Roman" w:hAnsi="Times New Roman"/>
      <w:sz w:val="24"/>
      <w:szCs w:val="24"/>
      <w:lang w:eastAsia="lv-LV"/>
    </w:rPr>
  </w:style>
  <w:style w:type="paragraph" w:styleId="ListParagraph">
    <w:name w:val="List Paragraph"/>
    <w:basedOn w:val="Normal"/>
    <w:uiPriority w:val="34"/>
    <w:qFormat/>
    <w:pPr>
      <w:widowControl w:val="0"/>
      <w:spacing w:before="60" w:after="60" w:line="360" w:lineRule="auto"/>
      <w:ind w:left="720" w:firstLine="720"/>
      <w:contextualSpacing/>
      <w:jc w:val="both"/>
    </w:pPr>
    <w:rPr>
      <w:rFonts w:ascii="Times New Roman" w:hAnsi="Times New Roman"/>
      <w:sz w:val="26"/>
      <w:szCs w:val="26"/>
      <w:lang w:val="en-AU"/>
    </w:rPr>
  </w:style>
  <w:style w:type="character" w:customStyle="1" w:styleId="st">
    <w:name w:val="s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KomentratekstsRakstz">
    <w:name w:val="Komentāra teksts Rakstz."/>
    <w:rPr>
      <w:rFonts w:ascii="RimHelvetica" w:hAnsi="RimHelvetica"/>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KomentratmaRakstz">
    <w:name w:val="Komentāra tēma Rakstz."/>
    <w:rPr>
      <w:rFonts w:ascii="RimHelvetica" w:hAnsi="RimHelvetica"/>
      <w:b/>
      <w:bCs/>
      <w:w w:val="100"/>
      <w:position w:val="-1"/>
      <w:effect w:val="none"/>
      <w:vertAlign w:val="baseline"/>
      <w:cs w:val="0"/>
      <w:em w:val="none"/>
      <w:lang w:eastAsia="en-US"/>
    </w:rPr>
  </w:style>
  <w:style w:type="paragraph" w:customStyle="1" w:styleId="Parasts1">
    <w:name w:val="Parasts1"/>
    <w:pPr>
      <w:overflowPunct w:val="0"/>
      <w:autoSpaceDE w:val="0"/>
      <w:spacing w:line="100" w:lineRule="atLeast"/>
      <w:ind w:leftChars="-1" w:left="-1" w:hangingChars="1"/>
      <w:textDirection w:val="btLr"/>
      <w:textAlignment w:val="baseline"/>
      <w:outlineLvl w:val="0"/>
    </w:pPr>
    <w:rPr>
      <w:kern w:val="1"/>
      <w:position w:val="-1"/>
      <w:sz w:val="24"/>
      <w:lang w:eastAsia="ar-SA"/>
    </w:rPr>
  </w:style>
  <w:style w:type="paragraph" w:styleId="BodyText2">
    <w:name w:val="Body Text 2"/>
    <w:basedOn w:val="Normal"/>
    <w:pPr>
      <w:spacing w:after="120" w:line="480" w:lineRule="auto"/>
    </w:pPr>
  </w:style>
  <w:style w:type="character" w:customStyle="1" w:styleId="Pamatteksts2Rakstz">
    <w:name w:val="Pamatteksts 2 Rakstz."/>
    <w:rPr>
      <w:rFonts w:ascii="RimHelvetica" w:hAnsi="RimHelvetica"/>
      <w:w w:val="100"/>
      <w:position w:val="-1"/>
      <w:sz w:val="28"/>
      <w:effect w:val="none"/>
      <w:vertAlign w:val="baseline"/>
      <w:cs w:val="0"/>
      <w:em w:val="none"/>
      <w:lang w:val="lv-LV"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paragraph" w:customStyle="1" w:styleId="tv213">
    <w:name w:val="tv213"/>
    <w:basedOn w:val="Normal"/>
    <w:rsid w:val="009953C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dmanespamatskola.lv" TargetMode="External"/><Relationship Id="rId3" Type="http://schemas.openxmlformats.org/officeDocument/2006/relationships/styles" Target="styles.xml"/><Relationship Id="rId7" Type="http://schemas.openxmlformats.org/officeDocument/2006/relationships/hyperlink" Target="mailto:ledmanespsk@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QwtBapoXRZ4wcJEunJttrd5Pg==">CgMxLjAyCGguZ2pkZ3hzOAByITFJZnF3NEwxOE1Hc1NhNFJ2U0EzM2Rtd0NIY0ZyMG0zYg==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11263</Words>
  <Characters>6421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Lietotajs</cp:lastModifiedBy>
  <cp:revision>2</cp:revision>
  <dcterms:created xsi:type="dcterms:W3CDTF">2025-04-16T12:31:00Z</dcterms:created>
  <dcterms:modified xsi:type="dcterms:W3CDTF">2025-04-16T12:31:00Z</dcterms:modified>
</cp:coreProperties>
</file>